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1828F3CB" w14:textId="77777777" w:rsidR="008D4145" w:rsidRDefault="008D4145" w:rsidP="008D4145">
      <w:pPr>
        <w:tabs>
          <w:tab w:val="left" w:pos="2173"/>
        </w:tabs>
      </w:pPr>
    </w:p>
    <w:p w14:paraId="777906AC" w14:textId="77777777" w:rsidR="005A06D9" w:rsidRPr="005D0887" w:rsidRDefault="005A06D9" w:rsidP="00DB630D">
      <w:pPr>
        <w:tabs>
          <w:tab w:val="left" w:pos="2173"/>
        </w:tabs>
        <w:rPr>
          <w:rFonts w:ascii="Times New Roman" w:hAnsi="Times New Roman" w:cs="Times New Roman"/>
        </w:rPr>
      </w:pPr>
    </w:p>
    <w:p w14:paraId="77D9617B" w14:textId="78680BBC" w:rsidR="00015934" w:rsidRPr="005D0887" w:rsidRDefault="00015934" w:rsidP="00015934">
      <w:pPr>
        <w:tabs>
          <w:tab w:val="left" w:pos="2173"/>
        </w:tabs>
        <w:rPr>
          <w:rFonts w:ascii="Times New Roman" w:hAnsi="Times New Roman" w:cs="Times New Roman"/>
        </w:rPr>
      </w:pPr>
      <w:r w:rsidRPr="005D0887">
        <w:rPr>
          <w:rFonts w:ascii="Times New Roman" w:hAnsi="Times New Roman" w:cs="Times New Roman"/>
        </w:rPr>
        <w:t xml:space="preserve">Lp </w:t>
      </w:r>
      <w:r w:rsidR="00D87049" w:rsidRPr="005D0887">
        <w:rPr>
          <w:rFonts w:ascii="Times New Roman" w:hAnsi="Times New Roman" w:cs="Times New Roman"/>
        </w:rPr>
        <w:t>taristu</w:t>
      </w:r>
      <w:r w:rsidR="005975C3" w:rsidRPr="005D0887">
        <w:rPr>
          <w:rFonts w:ascii="Times New Roman" w:hAnsi="Times New Roman" w:cs="Times New Roman"/>
        </w:rPr>
        <w:t xml:space="preserve">minister hr Kuldar Leis </w:t>
      </w:r>
    </w:p>
    <w:p w14:paraId="697D99C0" w14:textId="51F643C4" w:rsidR="00015934" w:rsidRPr="005D0887" w:rsidRDefault="00143791" w:rsidP="00015934">
      <w:pPr>
        <w:tabs>
          <w:tab w:val="left" w:pos="2173"/>
        </w:tabs>
        <w:rPr>
          <w:rFonts w:ascii="Times New Roman" w:hAnsi="Times New Roman" w:cs="Times New Roman"/>
        </w:rPr>
      </w:pPr>
      <w:r w:rsidRPr="005D0887">
        <w:rPr>
          <w:rFonts w:ascii="Times New Roman" w:hAnsi="Times New Roman" w:cs="Times New Roman"/>
        </w:rPr>
        <w:t>Kliimaministeerium</w:t>
      </w:r>
    </w:p>
    <w:p w14:paraId="12805483" w14:textId="7A9E8AC6" w:rsidR="00015934" w:rsidRPr="005D0887" w:rsidRDefault="00D87049" w:rsidP="00015934">
      <w:pPr>
        <w:tabs>
          <w:tab w:val="left" w:pos="2173"/>
        </w:tabs>
        <w:rPr>
          <w:rFonts w:ascii="Times New Roman" w:hAnsi="Times New Roman" w:cs="Times New Roman"/>
        </w:rPr>
      </w:pPr>
      <w:r w:rsidRPr="005D0887">
        <w:rPr>
          <w:rFonts w:ascii="Times New Roman" w:hAnsi="Times New Roman" w:cs="Times New Roman"/>
        </w:rPr>
        <w:t xml:space="preserve">Suur-Ameerika 1 </w:t>
      </w:r>
      <w:r w:rsidR="00015934" w:rsidRPr="005D0887">
        <w:rPr>
          <w:rFonts w:ascii="Times New Roman" w:hAnsi="Times New Roman" w:cs="Times New Roman"/>
        </w:rPr>
        <w:t xml:space="preserve">                                                                        </w:t>
      </w:r>
    </w:p>
    <w:p w14:paraId="401F2A61" w14:textId="53336734" w:rsidR="008D0FA3" w:rsidRPr="005D0887" w:rsidRDefault="00015934" w:rsidP="00015934">
      <w:pPr>
        <w:tabs>
          <w:tab w:val="left" w:pos="2173"/>
        </w:tabs>
        <w:rPr>
          <w:rFonts w:ascii="Times New Roman" w:hAnsi="Times New Roman" w:cs="Times New Roman"/>
        </w:rPr>
      </w:pPr>
      <w:r w:rsidRPr="005D0887">
        <w:rPr>
          <w:rFonts w:ascii="Times New Roman" w:hAnsi="Times New Roman" w:cs="Times New Roman"/>
        </w:rPr>
        <w:t xml:space="preserve">10122 TALLINN                                                                       </w:t>
      </w:r>
    </w:p>
    <w:p w14:paraId="0653BCF4" w14:textId="66FA3327" w:rsidR="006C1246" w:rsidRPr="005D0887" w:rsidRDefault="006650E5" w:rsidP="003D18D3">
      <w:pPr>
        <w:tabs>
          <w:tab w:val="left" w:pos="2173"/>
        </w:tabs>
        <w:rPr>
          <w:rFonts w:ascii="Times New Roman" w:hAnsi="Times New Roman" w:cs="Times New Roman"/>
          <w:i/>
          <w:iCs/>
        </w:rPr>
      </w:pPr>
      <w:r w:rsidRPr="005D0887">
        <w:rPr>
          <w:rFonts w:ascii="Times New Roman" w:hAnsi="Times New Roman" w:cs="Times New Roman"/>
          <w:i/>
          <w:iCs/>
        </w:rPr>
        <w:t xml:space="preserve">(saadetud e-posti teel) </w:t>
      </w:r>
      <w:r w:rsidR="006C1246" w:rsidRPr="005D0887">
        <w:rPr>
          <w:rFonts w:ascii="Times New Roman" w:hAnsi="Times New Roman" w:cs="Times New Roman"/>
          <w:i/>
          <w:iCs/>
        </w:rPr>
        <w:t xml:space="preserve">                                                                   </w:t>
      </w:r>
      <w:r w:rsidR="00692E42" w:rsidRPr="005D0887">
        <w:rPr>
          <w:rFonts w:ascii="Times New Roman" w:hAnsi="Times New Roman" w:cs="Times New Roman"/>
          <w:i/>
          <w:iCs/>
        </w:rPr>
        <w:t xml:space="preserve">       </w:t>
      </w:r>
      <w:r w:rsidR="006C1246" w:rsidRPr="005D0887">
        <w:rPr>
          <w:rFonts w:ascii="Times New Roman" w:hAnsi="Times New Roman" w:cs="Times New Roman"/>
          <w:i/>
          <w:iCs/>
        </w:rPr>
        <w:t xml:space="preserve"> </w:t>
      </w:r>
      <w:r w:rsidR="00993E6C" w:rsidRPr="005D0887">
        <w:rPr>
          <w:rFonts w:ascii="Times New Roman" w:hAnsi="Times New Roman" w:cs="Times New Roman"/>
          <w:i/>
          <w:iCs/>
        </w:rPr>
        <w:t xml:space="preserve"> </w:t>
      </w:r>
      <w:r w:rsidR="00F82E25">
        <w:rPr>
          <w:rFonts w:ascii="Times New Roman" w:hAnsi="Times New Roman" w:cs="Times New Roman"/>
        </w:rPr>
        <w:t>06.10</w:t>
      </w:r>
      <w:r w:rsidR="00F82E25">
        <w:rPr>
          <w:rFonts w:ascii="Times New Roman" w:hAnsi="Times New Roman" w:cs="Times New Roman"/>
          <w:i/>
          <w:iCs/>
        </w:rPr>
        <w:t>.</w:t>
      </w:r>
      <w:r w:rsidR="006C1246" w:rsidRPr="005D0887">
        <w:rPr>
          <w:rFonts w:ascii="Times New Roman" w:eastAsia="Times New Roman" w:hAnsi="Times New Roman" w:cs="Times New Roman"/>
          <w:noProof/>
          <w:kern w:val="0"/>
          <w:lang w:val="de-DE"/>
          <w14:ligatures w14:val="none"/>
        </w:rPr>
        <w:t>20</w:t>
      </w:r>
      <w:r w:rsidR="00345877" w:rsidRPr="005D0887">
        <w:rPr>
          <w:rFonts w:ascii="Times New Roman" w:eastAsia="Times New Roman" w:hAnsi="Times New Roman" w:cs="Times New Roman"/>
          <w:noProof/>
          <w:kern w:val="0"/>
          <w:lang w:val="de-DE"/>
          <w14:ligatures w14:val="none"/>
        </w:rPr>
        <w:t>2</w:t>
      </w:r>
      <w:r w:rsidR="006C1246" w:rsidRPr="005D0887">
        <w:rPr>
          <w:rFonts w:ascii="Times New Roman" w:eastAsia="Times New Roman" w:hAnsi="Times New Roman" w:cs="Times New Roman"/>
          <w:noProof/>
          <w:kern w:val="0"/>
          <w:lang w:val="de-DE"/>
          <w14:ligatures w14:val="none"/>
        </w:rPr>
        <w:t>5 nr 6-1/</w:t>
      </w:r>
      <w:r w:rsidR="00565657">
        <w:rPr>
          <w:rFonts w:ascii="Times New Roman" w:eastAsia="Times New Roman" w:hAnsi="Times New Roman" w:cs="Times New Roman"/>
          <w:noProof/>
          <w:kern w:val="0"/>
          <w:lang w:val="de-DE"/>
          <w14:ligatures w14:val="none"/>
        </w:rPr>
        <w:t>48-1</w:t>
      </w:r>
    </w:p>
    <w:p w14:paraId="55849C07" w14:textId="77777777" w:rsidR="006C1246" w:rsidRPr="005D0887" w:rsidRDefault="006C1246" w:rsidP="006C1246">
      <w:pPr>
        <w:rPr>
          <w:rFonts w:ascii="Times New Roman" w:eastAsia="MS Mincho" w:hAnsi="Times New Roman" w:cs="Times New Roman"/>
          <w:b/>
          <w:noProof/>
          <w:kern w:val="0"/>
          <w:lang w:val="de-DE" w:eastAsia="ja-JP"/>
          <w14:ligatures w14:val="none"/>
        </w:rPr>
      </w:pPr>
    </w:p>
    <w:p w14:paraId="5B62AC02" w14:textId="77777777" w:rsidR="006C1246" w:rsidRDefault="006C1246" w:rsidP="006C1246">
      <w:pPr>
        <w:rPr>
          <w:rFonts w:ascii="Times New Roman" w:eastAsia="Times New Roman" w:hAnsi="Times New Roman" w:cs="Times New Roman"/>
          <w:b/>
          <w:noProof/>
          <w:kern w:val="0"/>
          <w:lang w:val="de-DE"/>
          <w14:ligatures w14:val="none"/>
        </w:rPr>
      </w:pPr>
    </w:p>
    <w:p w14:paraId="1BFD7582" w14:textId="77777777" w:rsidR="00834EB0" w:rsidRPr="00834EB0" w:rsidRDefault="00834EB0" w:rsidP="00834EB0">
      <w:pPr>
        <w:rPr>
          <w:rFonts w:ascii="Times New Roman" w:eastAsia="Times New Roman" w:hAnsi="Times New Roman" w:cs="Times New Roman"/>
          <w:b/>
          <w:noProof/>
          <w:kern w:val="0"/>
          <w:lang w:val="de-DE"/>
          <w14:ligatures w14:val="none"/>
        </w:rPr>
      </w:pPr>
      <w:r w:rsidRPr="00834EB0">
        <w:rPr>
          <w:rFonts w:ascii="Times New Roman" w:eastAsia="Times New Roman" w:hAnsi="Times New Roman" w:cs="Times New Roman"/>
          <w:b/>
          <w:noProof/>
          <w:kern w:val="0"/>
          <w:lang w:val="de-DE"/>
          <w14:ligatures w14:val="none"/>
        </w:rPr>
        <w:t xml:space="preserve">Arvamuse avaldamine laeva lipuõiguse ja laevaregistrite seaduse ja teiste seaduste muutmise seaduse eelnõu väljatöötamiskavatsuse kohta </w:t>
      </w:r>
    </w:p>
    <w:p w14:paraId="6591ADFA" w14:textId="77777777" w:rsidR="00834EB0" w:rsidRPr="00834EB0" w:rsidRDefault="00834EB0" w:rsidP="00834EB0">
      <w:pPr>
        <w:rPr>
          <w:rFonts w:ascii="Times New Roman" w:eastAsia="Times New Roman" w:hAnsi="Times New Roman" w:cs="Times New Roman"/>
          <w:noProof/>
          <w:kern w:val="0"/>
          <w:lang w:val="en-US"/>
          <w14:ligatures w14:val="none"/>
        </w:rPr>
      </w:pPr>
    </w:p>
    <w:p w14:paraId="20CC410A" w14:textId="77777777" w:rsidR="00834EB0" w:rsidRPr="00834EB0" w:rsidRDefault="00834EB0" w:rsidP="00834EB0">
      <w:pPr>
        <w:rPr>
          <w:rFonts w:ascii="Times New Roman" w:eastAsia="Times New Roman" w:hAnsi="Times New Roman" w:cs="Times New Roman"/>
          <w:noProof/>
          <w:kern w:val="0"/>
          <w:lang w:val="de-DE"/>
          <w14:ligatures w14:val="none"/>
        </w:rPr>
      </w:pPr>
      <w:r w:rsidRPr="00834EB0">
        <w:rPr>
          <w:rFonts w:ascii="Times New Roman" w:eastAsia="Times New Roman" w:hAnsi="Times New Roman" w:cs="Times New Roman"/>
          <w:noProof/>
          <w:kern w:val="0"/>
          <w:lang w:val="de-DE"/>
          <w14:ligatures w14:val="none"/>
        </w:rPr>
        <w:t xml:space="preserve">Lugupeetud minister </w:t>
      </w:r>
    </w:p>
    <w:p w14:paraId="56E7E1B7" w14:textId="77777777" w:rsidR="00834EB0" w:rsidRPr="00834EB0" w:rsidRDefault="00834EB0" w:rsidP="00834EB0">
      <w:pPr>
        <w:jc w:val="both"/>
        <w:rPr>
          <w:rFonts w:ascii="Times New Roman" w:eastAsia="Times New Roman" w:hAnsi="Times New Roman" w:cs="Times New Roman"/>
          <w:noProof/>
          <w:kern w:val="0"/>
          <w:lang w:val="de-DE"/>
          <w14:ligatures w14:val="none"/>
        </w:rPr>
      </w:pPr>
    </w:p>
    <w:p w14:paraId="18CB1574" w14:textId="77777777"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Täname Teid võimaluse eest avaldada arvamust laeva lipuõiguse ja laevaregistrite seaduse ja teiste seaduste muutmise seaduse eelnõu väljatöötamiskavatsuse </w:t>
      </w:r>
      <w:r w:rsidRPr="00834EB0">
        <w:rPr>
          <w:rFonts w:ascii="Times New Roman" w:eastAsia="Times New Roman" w:hAnsi="Times New Roman" w:cs="Times New Roman"/>
          <w:i/>
          <w:iCs/>
          <w:noProof/>
          <w:kern w:val="0"/>
          <w:lang w:val="en-GB"/>
          <w14:ligatures w14:val="none"/>
        </w:rPr>
        <w:t>(edaspidi VTK)</w:t>
      </w:r>
      <w:r w:rsidRPr="00834EB0">
        <w:rPr>
          <w:rFonts w:ascii="Times New Roman" w:eastAsia="Times New Roman" w:hAnsi="Times New Roman" w:cs="Times New Roman"/>
          <w:noProof/>
          <w:kern w:val="0"/>
          <w:lang w:val="en-GB"/>
          <w14:ligatures w14:val="none"/>
        </w:rPr>
        <w:t xml:space="preserve"> kohta.</w:t>
      </w:r>
    </w:p>
    <w:p w14:paraId="4202D32A"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016BCBCD" w14:textId="77777777"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Alljärgnevalt teeme VTK kohta järgmised tähelepanekud. </w:t>
      </w:r>
    </w:p>
    <w:p w14:paraId="1F762D46"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13B399F2" w14:textId="77777777" w:rsidR="00834EB0" w:rsidRPr="00834EB0" w:rsidRDefault="00834EB0" w:rsidP="00834EB0">
      <w:pPr>
        <w:jc w:val="both"/>
        <w:rPr>
          <w:rFonts w:ascii="Times New Roman" w:eastAsia="Times New Roman" w:hAnsi="Times New Roman" w:cs="Times New Roman"/>
          <w:b/>
          <w:bCs/>
          <w:noProof/>
          <w:kern w:val="0"/>
          <w:lang w:val="en-GB"/>
          <w14:ligatures w14:val="none"/>
        </w:rPr>
      </w:pPr>
      <w:r w:rsidRPr="00834EB0">
        <w:rPr>
          <w:rFonts w:ascii="Times New Roman" w:eastAsia="Times New Roman" w:hAnsi="Times New Roman" w:cs="Times New Roman"/>
          <w:b/>
          <w:bCs/>
          <w:noProof/>
          <w:kern w:val="0"/>
          <w:lang w:val="en-GB"/>
          <w14:ligatures w14:val="none"/>
        </w:rPr>
        <w:t xml:space="preserve">I  Notariaalse tõestamise vorminõudest </w:t>
      </w:r>
    </w:p>
    <w:p w14:paraId="6C258AC7"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7749DCC7" w14:textId="77777777"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Kehtiva laeva asjaõigusseaduse (LAÕS) § 9 kohaselt on laevale omandi tekkimiseks vaja notariaalselt tõestatud kokkulepet omandi ülemineku kohta ja kannet laevakinnistusraamatus. Seega peab laeva omandit puudutav käsutusleping olema notariaalselt tõestatud. </w:t>
      </w:r>
    </w:p>
    <w:p w14:paraId="67A7B6DA"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281EAD14" w14:textId="77777777" w:rsidR="00834EB0" w:rsidRPr="00834EB0" w:rsidRDefault="00834EB0" w:rsidP="00C00C3C">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Samuti on notariaalse tõestamise vorm ette nähtud laevakinnistusraamatusse hüpoteegi kandmiseks (LAÕS § 19 lg 2), laeva kustutamise avaldusele, kui laev kustutatakse laevakinnistusraamatust seetõttu, et laev kaotab omandi ülemineku tõttu õiguse kanda Eesti riigilippu (LaevaRS § 55 lg 8) ning ehitaja kinnitusele teise isiku omanikuks saamise asjaolude kohta ehitatava mere- või siseveelaeva või ehitatava teisaldatava ujuvvahendi kinnistamiseks, kui omanik ei ole ehitaja (LaevaRS § 44 lg 2).</w:t>
      </w:r>
    </w:p>
    <w:p w14:paraId="3BE2909D" w14:textId="77777777" w:rsidR="00834EB0" w:rsidRPr="00834EB0" w:rsidRDefault="00834EB0" w:rsidP="00C00C3C">
      <w:pPr>
        <w:jc w:val="both"/>
        <w:rPr>
          <w:rFonts w:ascii="Times New Roman" w:eastAsia="Times New Roman" w:hAnsi="Times New Roman" w:cs="Times New Roman"/>
          <w:noProof/>
          <w:kern w:val="0"/>
          <w:lang w:val="en-GB"/>
          <w14:ligatures w14:val="none"/>
        </w:rPr>
      </w:pPr>
    </w:p>
    <w:p w14:paraId="679F631E" w14:textId="33BBDB5F" w:rsidR="00C00C3C" w:rsidRPr="00834EB0" w:rsidRDefault="00834EB0" w:rsidP="00C00C3C">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VTK üheks eesmärgiks on eelmainitud notariaalse tõestamise vorminõu</w:t>
      </w:r>
      <w:r w:rsidRPr="00261B92">
        <w:rPr>
          <w:rFonts w:ascii="Times New Roman" w:eastAsia="Times New Roman" w:hAnsi="Times New Roman" w:cs="Times New Roman"/>
          <w:noProof/>
          <w:kern w:val="0"/>
          <w:lang w:val="en-GB"/>
          <w14:ligatures w14:val="none"/>
        </w:rPr>
        <w:t>d</w:t>
      </w:r>
      <w:r w:rsidRPr="00834EB0">
        <w:rPr>
          <w:rFonts w:ascii="Times New Roman" w:eastAsia="Times New Roman" w:hAnsi="Times New Roman" w:cs="Times New Roman"/>
          <w:noProof/>
          <w:kern w:val="0"/>
          <w:lang w:val="en-GB"/>
          <w14:ligatures w14:val="none"/>
        </w:rPr>
        <w:t xml:space="preserve">e </w:t>
      </w:r>
      <w:r w:rsidRPr="00261B92">
        <w:rPr>
          <w:rFonts w:ascii="Times New Roman" w:eastAsia="Times New Roman" w:hAnsi="Times New Roman" w:cs="Times New Roman"/>
          <w:noProof/>
          <w:kern w:val="0"/>
          <w:lang w:val="en-GB"/>
          <w14:ligatures w14:val="none"/>
        </w:rPr>
        <w:t xml:space="preserve">kaotamine </w:t>
      </w:r>
      <w:r w:rsidRPr="00834EB0">
        <w:rPr>
          <w:rFonts w:ascii="Times New Roman" w:eastAsia="Times New Roman" w:hAnsi="Times New Roman" w:cs="Times New Roman"/>
          <w:noProof/>
          <w:kern w:val="0"/>
          <w:lang w:val="en-GB"/>
          <w14:ligatures w14:val="none"/>
        </w:rPr>
        <w:t>ning laevade</w:t>
      </w:r>
      <w:r w:rsidR="00C00C3C">
        <w:rPr>
          <w:rFonts w:ascii="Times New Roman" w:eastAsia="Times New Roman" w:hAnsi="Times New Roman" w:cs="Times New Roman"/>
          <w:noProof/>
          <w:kern w:val="0"/>
          <w:lang w:val="en-GB"/>
          <w14:ligatures w14:val="none"/>
        </w:rPr>
        <w:t xml:space="preserve"> </w:t>
      </w:r>
      <w:r w:rsidRPr="00834EB0">
        <w:rPr>
          <w:rFonts w:ascii="Times New Roman" w:eastAsia="Times New Roman" w:hAnsi="Times New Roman" w:cs="Times New Roman"/>
          <w:noProof/>
          <w:kern w:val="0"/>
          <w:lang w:val="en-GB"/>
          <w14:ligatures w14:val="none"/>
        </w:rPr>
        <w:t>omandit puudutavate kannete tegemise üleandmin</w:t>
      </w:r>
      <w:r w:rsidR="00C00C3C">
        <w:rPr>
          <w:rFonts w:ascii="Times New Roman" w:eastAsia="Times New Roman" w:hAnsi="Times New Roman" w:cs="Times New Roman"/>
          <w:noProof/>
          <w:kern w:val="0"/>
          <w:lang w:val="en-GB"/>
          <w14:ligatures w14:val="none"/>
        </w:rPr>
        <w:t>e</w:t>
      </w:r>
      <w:r w:rsidRPr="00834EB0">
        <w:rPr>
          <w:rFonts w:ascii="Times New Roman" w:eastAsia="Times New Roman" w:hAnsi="Times New Roman" w:cs="Times New Roman"/>
          <w:noProof/>
          <w:kern w:val="0"/>
          <w:lang w:val="en-GB"/>
          <w14:ligatures w14:val="none"/>
        </w:rPr>
        <w:t xml:space="preserve"> Transpordiametile.</w:t>
      </w:r>
      <w:r w:rsidR="00C00C3C">
        <w:rPr>
          <w:rFonts w:ascii="Times New Roman" w:eastAsia="Times New Roman" w:hAnsi="Times New Roman" w:cs="Times New Roman"/>
          <w:noProof/>
          <w:kern w:val="0"/>
          <w:lang w:val="en-GB"/>
          <w14:ligatures w14:val="none"/>
        </w:rPr>
        <w:t xml:space="preserve"> </w:t>
      </w:r>
      <w:r w:rsidRPr="00834EB0">
        <w:rPr>
          <w:rFonts w:ascii="Times New Roman" w:eastAsia="Times New Roman" w:hAnsi="Times New Roman" w:cs="Times New Roman"/>
          <w:noProof/>
          <w:kern w:val="0"/>
          <w:lang w:val="en-GB"/>
          <w14:ligatures w14:val="none"/>
        </w:rPr>
        <w:t>VTK</w:t>
      </w:r>
      <w:r w:rsidR="00C00C3C">
        <w:rPr>
          <w:rFonts w:ascii="Times New Roman" w:eastAsia="Times New Roman" w:hAnsi="Times New Roman" w:cs="Times New Roman"/>
          <w:noProof/>
          <w:kern w:val="0"/>
          <w:lang w:val="en-GB"/>
          <w14:ligatures w14:val="none"/>
        </w:rPr>
        <w:t xml:space="preserve"> </w:t>
      </w:r>
      <w:r w:rsidRPr="00834EB0">
        <w:rPr>
          <w:rFonts w:ascii="Times New Roman" w:eastAsia="Times New Roman" w:hAnsi="Times New Roman" w:cs="Times New Roman"/>
          <w:noProof/>
          <w:kern w:val="0"/>
          <w:lang w:val="en-GB"/>
          <w14:ligatures w14:val="none"/>
        </w:rPr>
        <w:t>punkti</w:t>
      </w:r>
      <w:r w:rsidR="00C00C3C">
        <w:rPr>
          <w:rFonts w:ascii="Times New Roman" w:eastAsia="Times New Roman" w:hAnsi="Times New Roman" w:cs="Times New Roman"/>
          <w:noProof/>
          <w:kern w:val="0"/>
          <w:lang w:val="en-GB"/>
          <w14:ligatures w14:val="none"/>
        </w:rPr>
        <w:t>s</w:t>
      </w:r>
    </w:p>
    <w:p w14:paraId="69B4BE42" w14:textId="77777777" w:rsidR="008601AA" w:rsidRDefault="00834EB0" w:rsidP="00C00C3C">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1.3.1.1.1 leitakse, et õigustloovaid ehk konstitutiivseid kandeid saaks teha ka Transpordiamet, kuid kui laevade omandiõiguse üleminekul säiliks lepingu notariaalselt tõestatud vorm, siis peaks registripidajal olema vähemalt minimaalne juriidiline haridus või muu kvalifikatsioon, mis võimaldaks tal hinnata notariaalse tehingu õiguspärasust ning õigustloovate kannetega jätkamine ei ole mõistlik, kui eesmärgiks on registreerimise protsessi lihtsustamine. </w:t>
      </w:r>
    </w:p>
    <w:p w14:paraId="05C24689" w14:textId="77777777" w:rsidR="008601AA" w:rsidRDefault="008601AA" w:rsidP="00C00C3C">
      <w:pPr>
        <w:jc w:val="both"/>
        <w:rPr>
          <w:rFonts w:ascii="Times New Roman" w:eastAsia="Times New Roman" w:hAnsi="Times New Roman" w:cs="Times New Roman"/>
          <w:noProof/>
          <w:kern w:val="0"/>
          <w:lang w:val="en-GB"/>
          <w14:ligatures w14:val="none"/>
        </w:rPr>
      </w:pPr>
    </w:p>
    <w:p w14:paraId="14826DF3" w14:textId="55F3D1BE" w:rsidR="00834EB0" w:rsidRPr="00834EB0" w:rsidRDefault="00834EB0" w:rsidP="00C00C3C">
      <w:pPr>
        <w:jc w:val="both"/>
        <w:rPr>
          <w:rFonts w:ascii="Times New Roman" w:eastAsia="Times New Roman" w:hAnsi="Times New Roman" w:cs="Times New Roman"/>
          <w:noProof/>
          <w:kern w:val="0"/>
          <w14:ligatures w14:val="none"/>
        </w:rPr>
      </w:pPr>
      <w:r w:rsidRPr="00834EB0">
        <w:rPr>
          <w:rFonts w:ascii="Times New Roman" w:eastAsia="Times New Roman" w:hAnsi="Times New Roman" w:cs="Times New Roman"/>
          <w:noProof/>
          <w:kern w:val="0"/>
          <w14:ligatures w14:val="none"/>
        </w:rPr>
        <w:t xml:space="preserve">Registripidaja kvalifikatsiooni kontekstis on oluline rõhutada, et pädevus, mis võimaldab hinnata Eesti notari poolt notariaalselt tõestatud tehingu olemasolu ja õiguspärasust, erineb </w:t>
      </w:r>
      <w:r w:rsidRPr="00834EB0">
        <w:rPr>
          <w:rFonts w:ascii="Times New Roman" w:eastAsia="Times New Roman" w:hAnsi="Times New Roman" w:cs="Times New Roman"/>
          <w:noProof/>
          <w:kern w:val="0"/>
          <w14:ligatures w14:val="none"/>
        </w:rPr>
        <w:lastRenderedPageBreak/>
        <w:t xml:space="preserve">oluliselt sellest kvalifikatsioonitasemest, mis on vajalik juhul, kui notariaalselt tõestatud kokkuleppe vormist loobuda. Viimasel juhul kanduvad kõik notarile seadusega pandud ülesanded ja vastutus registripidajale, mis omakorda eeldaks registripidajalt pädevust, mis sisuliselt vastab samaaegselt nii notari kui ka kohtu kinnistusosakonna kohtunikuabi kvalifikatsiooni tasemele. </w:t>
      </w:r>
    </w:p>
    <w:p w14:paraId="6AC0C3A3" w14:textId="77777777" w:rsidR="00834EB0" w:rsidRPr="00834EB0" w:rsidRDefault="00834EB0" w:rsidP="00834EB0">
      <w:pPr>
        <w:jc w:val="both"/>
        <w:rPr>
          <w:rFonts w:ascii="Times New Roman" w:eastAsia="Times New Roman" w:hAnsi="Times New Roman" w:cs="Times New Roman"/>
          <w:noProof/>
          <w:kern w:val="0"/>
          <w14:ligatures w14:val="none"/>
        </w:rPr>
      </w:pPr>
    </w:p>
    <w:p w14:paraId="001E458C" w14:textId="40DD8D76"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Märgime, et notariaalse tõestamise korral täidab notar kõiki</w:t>
      </w:r>
      <w:r w:rsidRPr="00261B92">
        <w:rPr>
          <w:rFonts w:ascii="Times New Roman" w:eastAsia="Times New Roman" w:hAnsi="Times New Roman" w:cs="Times New Roman"/>
          <w:noProof/>
          <w:kern w:val="0"/>
          <w:lang w:val="en-GB"/>
          <w14:ligatures w14:val="none"/>
        </w:rPr>
        <w:t xml:space="preserve"> </w:t>
      </w:r>
      <w:r w:rsidRPr="00834EB0">
        <w:rPr>
          <w:rFonts w:ascii="Times New Roman" w:eastAsia="Times New Roman" w:hAnsi="Times New Roman" w:cs="Times New Roman"/>
          <w:noProof/>
          <w:kern w:val="0"/>
          <w:lang w:val="en-GB"/>
          <w14:ligatures w14:val="none"/>
        </w:rPr>
        <w:t xml:space="preserve">tõestamisseaduses sätestatud ülesandeid, mille eesmärk on tagada lepingu õiguskindlus ja selles sisalduvate andmete õigsus. Muuhulgas selgitab notar välja lepingupoolteks olevate isikute õigusvõime ja neid esindavate isikute esindusõiguse. </w:t>
      </w:r>
    </w:p>
    <w:p w14:paraId="245EAC9B"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5F10783F" w14:textId="77777777"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Seega väheneks notariaalse tõestamise vorminõude kaotamisel oluliselt laeva omandiõiguse üleminekuga seotud tehingute õiguskindlus, kuna vorminõude leevendamisega suureneks märkimisväärselt võimalus kuritarvitusteks. </w:t>
      </w:r>
    </w:p>
    <w:p w14:paraId="15E1EB1F"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1705BCC3" w14:textId="77777777" w:rsidR="00834EB0" w:rsidRPr="00834EB0" w:rsidRDefault="00834EB0" w:rsidP="00834EB0">
      <w:pPr>
        <w:jc w:val="both"/>
        <w:rPr>
          <w:rFonts w:ascii="Times New Roman" w:eastAsia="Times New Roman" w:hAnsi="Times New Roman" w:cs="Times New Roman"/>
          <w:noProof/>
          <w:kern w:val="0"/>
          <w14:ligatures w14:val="none"/>
        </w:rPr>
      </w:pPr>
      <w:r w:rsidRPr="00834EB0">
        <w:rPr>
          <w:rFonts w:ascii="Times New Roman" w:eastAsia="Times New Roman" w:hAnsi="Times New Roman" w:cs="Times New Roman"/>
          <w:noProof/>
          <w:kern w:val="0"/>
          <w:lang w:val="en-GB"/>
          <w14:ligatures w14:val="none"/>
        </w:rPr>
        <w:t xml:space="preserve">Ebaõige on VTK punktis 4.3.2 toodud väide, et omandi ülemineku dokumendi tõestamine eeldab, et nii laeva müüja kui ka ostja oleksid Eesti notari juures füüsiliselt laeva asjaõiguslepingu sõlmimiseks. Märgime, et kõiki lepinguid on võimalik tõestada ka kaugtõestamise teel, mille puhul osalevad lepingupooled ja notar videosilla vahendusel või esindaja kaudu. </w:t>
      </w:r>
      <w:r w:rsidRPr="00834EB0">
        <w:rPr>
          <w:rFonts w:ascii="Times New Roman" w:eastAsia="Times New Roman" w:hAnsi="Times New Roman" w:cs="Times New Roman"/>
          <w:noProof/>
          <w:kern w:val="0"/>
          <w14:ligatures w14:val="none"/>
        </w:rPr>
        <w:t xml:space="preserve">Notariaalse tõestamise vorminõudest loobumine ja üleminek notariaalsele kinnitamisele tähendab eelkõige loobumist dokumendi õiguskindluse tasemest, mitte notari poole pöördumise protsessist. Ka notariaalse kinnitamise puhul tuleb pöörduda notari poole, kuid erinevalt tõestamisest ei sisalda see notaripoolset sisulist kontrolli tehingu seaduslikkuse ja osapoolte tahte kohta ning tulemuseks on oluliselt madalama õigusliku kvaliteedi ja usaldusväärtusega dokument. </w:t>
      </w:r>
    </w:p>
    <w:p w14:paraId="522736AB"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45690FF1" w14:textId="77777777" w:rsidR="00834EB0" w:rsidRPr="00834EB0" w:rsidRDefault="00834EB0" w:rsidP="00834EB0">
      <w:pPr>
        <w:jc w:val="both"/>
        <w:rPr>
          <w:rFonts w:ascii="Times New Roman" w:eastAsia="Times New Roman" w:hAnsi="Times New Roman" w:cs="Times New Roman"/>
          <w:b/>
          <w:bCs/>
          <w:noProof/>
          <w:kern w:val="0"/>
          <w:lang w:val="en-GB"/>
          <w14:ligatures w14:val="none"/>
        </w:rPr>
      </w:pPr>
      <w:r w:rsidRPr="00834EB0">
        <w:rPr>
          <w:rFonts w:ascii="Times New Roman" w:eastAsia="Times New Roman" w:hAnsi="Times New Roman" w:cs="Times New Roman"/>
          <w:b/>
          <w:bCs/>
          <w:noProof/>
          <w:kern w:val="0"/>
          <w:lang w:val="en-GB"/>
          <w14:ligatures w14:val="none"/>
        </w:rPr>
        <w:t xml:space="preserve">II  Muudatused rahapesu tõkestamise ja rahvusvaheliste sanktsioonide kohaldamise aspektist </w:t>
      </w:r>
    </w:p>
    <w:p w14:paraId="6A9577E0"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0324B8BA" w14:textId="0161928C" w:rsidR="00834EB0"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VTK sisu analüüsides esinevad meie hinnangul teatud riskid, mis on seotud notari hoolsusmeetmete täitmisega RahaPTS</w:t>
      </w:r>
      <w:r w:rsidR="00A37B20">
        <w:rPr>
          <w:rFonts w:ascii="Times New Roman" w:eastAsia="Aptos" w:hAnsi="Times New Roman" w:cs="Times New Roman"/>
        </w:rPr>
        <w:t>-i</w:t>
      </w:r>
      <w:r w:rsidRPr="00834EB0">
        <w:rPr>
          <w:rFonts w:ascii="Times New Roman" w:eastAsia="Aptos" w:hAnsi="Times New Roman" w:cs="Times New Roman"/>
        </w:rPr>
        <w:t xml:space="preserve"> ja RSanS-i nõuete vaates. Põhiprobleemiks on ka samuti asjaolu, et tehingu vorminõude leevendamisel ehk kinnitamise vormi korral kaob notaripoolne tehinguga seotud tehiolude kontroll ja jääb üksnes osapoolte allkirjade notariaalne kinnitamine. Notariaalse kinnitamise korral on vastava vorminõude täitmine võimalik ka välisriigi notari, k.a kolmandate riikide notari või sarnaseid tõestamisfunktsioone täitva ametiisiku juures.</w:t>
      </w:r>
    </w:p>
    <w:p w14:paraId="32CF5DB6" w14:textId="60E9CA4E"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 xml:space="preserve">Juhime tähelepanu, et kolmandates riikides erinevad rahapesu tõkestamise standardid ning rahvusvaheliste sanktsioonide rakendamine ja/või sarnase tõestamisfunktsiooni täitva ametiisiku kompetents oluliselt EL-i regulatsioonidest ja nõuetest. Näiteks juhul, kui ostja, müüja või tehingus kasutatavad rahalised vahendid pärinevad kõrgema riskiga jurisdiktsioonist või tehingus kasutatakse keerulisi </w:t>
      </w:r>
      <w:proofErr w:type="spellStart"/>
      <w:r w:rsidRPr="00834EB0">
        <w:rPr>
          <w:rFonts w:ascii="Times New Roman" w:eastAsia="Aptos" w:hAnsi="Times New Roman" w:cs="Times New Roman"/>
          <w:i/>
          <w:iCs/>
        </w:rPr>
        <w:t>off-shore</w:t>
      </w:r>
      <w:proofErr w:type="spellEnd"/>
      <w:r w:rsidRPr="00834EB0">
        <w:rPr>
          <w:rFonts w:ascii="Times New Roman" w:eastAsia="Aptos" w:hAnsi="Times New Roman" w:cs="Times New Roman"/>
        </w:rPr>
        <w:t xml:space="preserve"> struktuure on RahaPTS</w:t>
      </w:r>
      <w:r w:rsidR="00A37B20">
        <w:rPr>
          <w:rFonts w:ascii="Times New Roman" w:eastAsia="Aptos" w:hAnsi="Times New Roman" w:cs="Times New Roman"/>
        </w:rPr>
        <w:t>-i</w:t>
      </w:r>
      <w:r w:rsidRPr="00834EB0">
        <w:rPr>
          <w:rFonts w:ascii="Times New Roman" w:eastAsia="Aptos" w:hAnsi="Times New Roman" w:cs="Times New Roman"/>
        </w:rPr>
        <w:t xml:space="preserve"> ja RSanS</w:t>
      </w:r>
      <w:r w:rsidR="00A37B20">
        <w:rPr>
          <w:rFonts w:ascii="Times New Roman" w:eastAsia="Aptos" w:hAnsi="Times New Roman" w:cs="Times New Roman"/>
        </w:rPr>
        <w:t>-i</w:t>
      </w:r>
      <w:r w:rsidRPr="00834EB0">
        <w:rPr>
          <w:rFonts w:ascii="Times New Roman" w:eastAsia="Aptos" w:hAnsi="Times New Roman" w:cs="Times New Roman"/>
        </w:rPr>
        <w:t xml:space="preserve"> nõuete täitmiseks vajalik kohaldada täiendavaid hoolsusmeetmeid. Notariaalse tõestamise vorminõudest loobumisel kaob ära kohustatud isik, kes seda teeks, mis omakorda suurendab riski, et laevadega tehtavaid tehinguid ja Eesti laevaregistrit hakatakse kasutama rahapesuks või rahvusvaheliste sanktsioonide eiramiseks. </w:t>
      </w:r>
    </w:p>
    <w:p w14:paraId="6322670A" w14:textId="77777777" w:rsidR="00834EB0" w:rsidRPr="00834EB0" w:rsidRDefault="00834EB0" w:rsidP="00834EB0">
      <w:pPr>
        <w:spacing w:line="276" w:lineRule="auto"/>
        <w:jc w:val="both"/>
        <w:rPr>
          <w:rFonts w:ascii="Times New Roman" w:eastAsia="Aptos" w:hAnsi="Times New Roman" w:cs="Times New Roman"/>
        </w:rPr>
      </w:pPr>
    </w:p>
    <w:p w14:paraId="39D7C43F"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lastRenderedPageBreak/>
        <w:t xml:space="preserve">Kuigi EL-is ei ole eraldi AML regulatsioone laevadega tehtavatele tehingutele, kuuluvad need tehingud oma olemuselt rahapesu ja sanktsioonide rikkumise riskide tõttu kõrge riskiga tehingute hulka. Laevade näol on tegemist kõrge väärtusega varaga, mille müük ja ost eeldavad tegeliku kasusaaja tausta tuvastamist ja raha päritolu kontrolli.   </w:t>
      </w:r>
    </w:p>
    <w:p w14:paraId="25908805" w14:textId="77777777" w:rsidR="00834EB0" w:rsidRPr="00834EB0" w:rsidRDefault="00834EB0" w:rsidP="00834EB0">
      <w:pPr>
        <w:spacing w:line="276" w:lineRule="auto"/>
        <w:ind w:left="720"/>
        <w:contextualSpacing/>
        <w:jc w:val="both"/>
        <w:rPr>
          <w:rFonts w:ascii="Times New Roman" w:eastAsia="Aptos" w:hAnsi="Times New Roman" w:cs="Times New Roman"/>
        </w:rPr>
      </w:pPr>
    </w:p>
    <w:p w14:paraId="34BEE735" w14:textId="018FB86E"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Laevatehingu vorminõude leevendamisel võivad kasvada ka rahvusvaheliste sanktsioonide rakendamisega seotud  riskid. Nimelt laevade ostu-müüki võivad mõjutada ÜRO, EL</w:t>
      </w:r>
      <w:r w:rsidR="00A37B20">
        <w:rPr>
          <w:rFonts w:ascii="Times New Roman" w:eastAsia="Aptos" w:hAnsi="Times New Roman" w:cs="Times New Roman"/>
        </w:rPr>
        <w:t>-i</w:t>
      </w:r>
      <w:r w:rsidRPr="00834EB0">
        <w:rPr>
          <w:rFonts w:ascii="Times New Roman" w:eastAsia="Aptos" w:hAnsi="Times New Roman" w:cs="Times New Roman"/>
        </w:rPr>
        <w:t xml:space="preserve"> ja USA sanktsioonid, mis võivad keelata laevade müügi, ostu, registreerimise, kindlustamise või finantseerimise. Risk on eriti suur, kui vastaspool või laev ise on seotud Venemaa, Iraani, Põhja-Korea, Süüria või Venezuela või teiste sanktsioneeritud jurisdiktsioonidega. Seega on oluline siinjuures hoolsusmeetmete täitmine tugevdatud korras, mida notar ei tee notariaalse kinnitamise korral.</w:t>
      </w:r>
    </w:p>
    <w:p w14:paraId="1AB8A95C" w14:textId="77777777" w:rsidR="00834EB0" w:rsidRPr="00834EB0" w:rsidRDefault="00834EB0" w:rsidP="00834EB0">
      <w:pPr>
        <w:spacing w:line="276" w:lineRule="auto"/>
        <w:ind w:left="720"/>
        <w:contextualSpacing/>
        <w:jc w:val="both"/>
        <w:rPr>
          <w:rFonts w:ascii="Times New Roman" w:eastAsia="Aptos" w:hAnsi="Times New Roman" w:cs="Times New Roman"/>
        </w:rPr>
      </w:pPr>
    </w:p>
    <w:p w14:paraId="3945DE60"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Allpool toome välja EL-i sanktsioonid, mis mõjutavad laevade ostu-müüki ja mida tuleb järgida kogumis:</w:t>
      </w:r>
    </w:p>
    <w:p w14:paraId="4870EC4E" w14:textId="77777777" w:rsidR="00834EB0" w:rsidRPr="00834EB0" w:rsidRDefault="00834EB0" w:rsidP="00834EB0">
      <w:pPr>
        <w:spacing w:line="276" w:lineRule="auto"/>
        <w:ind w:left="720"/>
        <w:contextualSpacing/>
        <w:jc w:val="both"/>
        <w:rPr>
          <w:rFonts w:ascii="Times New Roman" w:eastAsia="Aptos" w:hAnsi="Times New Roman" w:cs="Times New Roman"/>
        </w:rPr>
      </w:pPr>
    </w:p>
    <w:tbl>
      <w:tblPr>
        <w:tblW w:w="0" w:type="auto"/>
        <w:tblCellSpacing w:w="15" w:type="dxa"/>
        <w:tblLook w:val="04A0" w:firstRow="1" w:lastRow="0" w:firstColumn="1" w:lastColumn="0" w:noHBand="0" w:noVBand="1"/>
      </w:tblPr>
      <w:tblGrid>
        <w:gridCol w:w="3092"/>
        <w:gridCol w:w="1522"/>
        <w:gridCol w:w="4412"/>
      </w:tblGrid>
      <w:tr w:rsidR="00834EB0" w:rsidRPr="00834EB0" w14:paraId="16DFB073" w14:textId="77777777">
        <w:trPr>
          <w:tblHeader/>
          <w:tblCellSpacing w:w="15" w:type="dxa"/>
        </w:trPr>
        <w:tc>
          <w:tcPr>
            <w:tcW w:w="0" w:type="auto"/>
            <w:tcMar>
              <w:top w:w="15" w:type="dxa"/>
              <w:left w:w="15" w:type="dxa"/>
              <w:bottom w:w="15" w:type="dxa"/>
              <w:right w:w="15" w:type="dxa"/>
            </w:tcMar>
            <w:vAlign w:val="center"/>
            <w:hideMark/>
          </w:tcPr>
          <w:p w14:paraId="2F26479A" w14:textId="77777777" w:rsidR="00834EB0" w:rsidRPr="00834EB0" w:rsidRDefault="00834EB0" w:rsidP="00834EB0">
            <w:pPr>
              <w:spacing w:line="276" w:lineRule="auto"/>
              <w:ind w:left="720"/>
              <w:contextualSpacing/>
              <w:jc w:val="both"/>
              <w:rPr>
                <w:rFonts w:ascii="Times New Roman" w:eastAsia="Aptos" w:hAnsi="Times New Roman" w:cs="Times New Roman"/>
                <w:b/>
                <w:bCs/>
              </w:rPr>
            </w:pPr>
            <w:r w:rsidRPr="00834EB0">
              <w:rPr>
                <w:rFonts w:ascii="Times New Roman" w:eastAsia="Aptos" w:hAnsi="Times New Roman" w:cs="Times New Roman"/>
                <w:b/>
                <w:bCs/>
              </w:rPr>
              <w:t>Sanktsioonimeede</w:t>
            </w:r>
          </w:p>
        </w:tc>
        <w:tc>
          <w:tcPr>
            <w:tcW w:w="1492" w:type="dxa"/>
            <w:tcMar>
              <w:top w:w="15" w:type="dxa"/>
              <w:left w:w="15" w:type="dxa"/>
              <w:bottom w:w="15" w:type="dxa"/>
              <w:right w:w="15" w:type="dxa"/>
            </w:tcMar>
            <w:vAlign w:val="center"/>
            <w:hideMark/>
          </w:tcPr>
          <w:p w14:paraId="6A959B8F" w14:textId="77777777" w:rsidR="00834EB0" w:rsidRPr="00834EB0" w:rsidRDefault="00834EB0" w:rsidP="00834EB0">
            <w:pPr>
              <w:spacing w:line="276" w:lineRule="auto"/>
              <w:jc w:val="both"/>
              <w:rPr>
                <w:rFonts w:ascii="Times New Roman" w:eastAsia="Aptos" w:hAnsi="Times New Roman" w:cs="Times New Roman"/>
                <w:b/>
                <w:bCs/>
              </w:rPr>
            </w:pPr>
            <w:r w:rsidRPr="00834EB0">
              <w:rPr>
                <w:rFonts w:ascii="Times New Roman" w:eastAsia="Aptos" w:hAnsi="Times New Roman" w:cs="Times New Roman"/>
                <w:b/>
                <w:bCs/>
              </w:rPr>
              <w:t xml:space="preserve"> Kellele </w:t>
            </w:r>
          </w:p>
          <w:p w14:paraId="087DBB22" w14:textId="77777777" w:rsidR="00834EB0" w:rsidRPr="00834EB0" w:rsidRDefault="00834EB0" w:rsidP="00834EB0">
            <w:pPr>
              <w:spacing w:line="276" w:lineRule="auto"/>
              <w:jc w:val="both"/>
              <w:rPr>
                <w:rFonts w:ascii="Times New Roman" w:eastAsia="Aptos" w:hAnsi="Times New Roman" w:cs="Times New Roman"/>
                <w:b/>
                <w:bCs/>
              </w:rPr>
            </w:pPr>
            <w:r w:rsidRPr="00834EB0">
              <w:rPr>
                <w:rFonts w:ascii="Times New Roman" w:eastAsia="Aptos" w:hAnsi="Times New Roman" w:cs="Times New Roman"/>
                <w:b/>
                <w:bCs/>
              </w:rPr>
              <w:t xml:space="preserve"> kehtib?</w:t>
            </w:r>
          </w:p>
        </w:tc>
        <w:tc>
          <w:tcPr>
            <w:tcW w:w="4367" w:type="dxa"/>
            <w:tcMar>
              <w:top w:w="15" w:type="dxa"/>
              <w:left w:w="15" w:type="dxa"/>
              <w:bottom w:w="15" w:type="dxa"/>
              <w:right w:w="15" w:type="dxa"/>
            </w:tcMar>
            <w:vAlign w:val="center"/>
            <w:hideMark/>
          </w:tcPr>
          <w:p w14:paraId="5A80B655" w14:textId="77777777" w:rsidR="00834EB0" w:rsidRPr="00834EB0" w:rsidRDefault="00834EB0" w:rsidP="00834EB0">
            <w:pPr>
              <w:spacing w:line="276" w:lineRule="auto"/>
              <w:jc w:val="both"/>
              <w:rPr>
                <w:rFonts w:ascii="Times New Roman" w:eastAsia="Aptos" w:hAnsi="Times New Roman" w:cs="Times New Roman"/>
                <w:b/>
                <w:bCs/>
              </w:rPr>
            </w:pPr>
            <w:r w:rsidRPr="00834EB0">
              <w:rPr>
                <w:rFonts w:ascii="Times New Roman" w:eastAsia="Aptos" w:hAnsi="Times New Roman" w:cs="Times New Roman"/>
                <w:b/>
                <w:bCs/>
              </w:rPr>
              <w:t>Mõju laevade ostu-müügilepingutele</w:t>
            </w:r>
          </w:p>
        </w:tc>
      </w:tr>
      <w:tr w:rsidR="00834EB0" w:rsidRPr="00834EB0" w14:paraId="07DCECE3" w14:textId="77777777">
        <w:trPr>
          <w:tblCellSpacing w:w="15" w:type="dxa"/>
        </w:trPr>
        <w:tc>
          <w:tcPr>
            <w:tcW w:w="0" w:type="auto"/>
            <w:tcMar>
              <w:top w:w="15" w:type="dxa"/>
              <w:left w:w="15" w:type="dxa"/>
              <w:bottom w:w="15" w:type="dxa"/>
              <w:right w:w="15" w:type="dxa"/>
            </w:tcMar>
            <w:vAlign w:val="center"/>
            <w:hideMark/>
          </w:tcPr>
          <w:p w14:paraId="1E80EFE4" w14:textId="77777777" w:rsidR="00834EB0" w:rsidRPr="00834EB0" w:rsidRDefault="00834EB0" w:rsidP="00834EB0">
            <w:pPr>
              <w:spacing w:line="276" w:lineRule="auto"/>
              <w:rPr>
                <w:rFonts w:ascii="Times New Roman" w:eastAsia="Aptos" w:hAnsi="Times New Roman" w:cs="Times New Roman"/>
                <w:lang w:val="en-US"/>
              </w:rPr>
            </w:pPr>
            <w:r w:rsidRPr="00834EB0">
              <w:rPr>
                <w:rFonts w:ascii="Times New Roman" w:eastAsia="Aptos" w:hAnsi="Times New Roman" w:cs="Times New Roman"/>
                <w:lang w:val="en-US"/>
              </w:rPr>
              <w:t xml:space="preserve"> Regulation 2023/2878, Art. 3q (12. </w:t>
            </w:r>
            <w:proofErr w:type="spellStart"/>
            <w:r w:rsidRPr="00834EB0">
              <w:rPr>
                <w:rFonts w:ascii="Times New Roman" w:eastAsia="Aptos" w:hAnsi="Times New Roman" w:cs="Times New Roman"/>
                <w:lang w:val="en-US"/>
              </w:rPr>
              <w:t>pakett</w:t>
            </w:r>
            <w:proofErr w:type="spellEnd"/>
            <w:r w:rsidRPr="00834EB0">
              <w:rPr>
                <w:rFonts w:ascii="Times New Roman" w:eastAsia="Aptos" w:hAnsi="Times New Roman" w:cs="Times New Roman"/>
                <w:lang w:val="en-US"/>
              </w:rPr>
              <w:t>)</w:t>
            </w:r>
          </w:p>
        </w:tc>
        <w:tc>
          <w:tcPr>
            <w:tcW w:w="1492" w:type="dxa"/>
            <w:tcMar>
              <w:top w:w="15" w:type="dxa"/>
              <w:left w:w="15" w:type="dxa"/>
              <w:bottom w:w="15" w:type="dxa"/>
              <w:right w:w="15" w:type="dxa"/>
            </w:tcMar>
            <w:vAlign w:val="center"/>
            <w:hideMark/>
          </w:tcPr>
          <w:p w14:paraId="537FB593"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lang w:val="en-US"/>
              </w:rPr>
              <w:t xml:space="preserve"> </w:t>
            </w:r>
            <w:r w:rsidRPr="00834EB0">
              <w:rPr>
                <w:rFonts w:ascii="Times New Roman" w:eastAsia="Aptos" w:hAnsi="Times New Roman" w:cs="Times New Roman"/>
              </w:rPr>
              <w:t>EL isikud</w:t>
            </w:r>
          </w:p>
        </w:tc>
        <w:tc>
          <w:tcPr>
            <w:tcW w:w="4367" w:type="dxa"/>
            <w:tcMar>
              <w:top w:w="15" w:type="dxa"/>
              <w:left w:w="15" w:type="dxa"/>
              <w:bottom w:w="15" w:type="dxa"/>
              <w:right w:w="15" w:type="dxa"/>
            </w:tcMar>
            <w:vAlign w:val="center"/>
            <w:hideMark/>
          </w:tcPr>
          <w:p w14:paraId="6565A7A2"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Müük Venemaale või Venemaal kasutamiseks keelatud, teavitamine vajalik.</w:t>
            </w:r>
          </w:p>
        </w:tc>
      </w:tr>
      <w:tr w:rsidR="00834EB0" w:rsidRPr="00834EB0" w14:paraId="769E4B6B" w14:textId="77777777">
        <w:trPr>
          <w:tblCellSpacing w:w="15" w:type="dxa"/>
        </w:trPr>
        <w:tc>
          <w:tcPr>
            <w:tcW w:w="0" w:type="auto"/>
            <w:tcMar>
              <w:top w:w="15" w:type="dxa"/>
              <w:left w:w="15" w:type="dxa"/>
              <w:bottom w:w="15" w:type="dxa"/>
              <w:right w:w="15" w:type="dxa"/>
            </w:tcMar>
            <w:vAlign w:val="center"/>
            <w:hideMark/>
          </w:tcPr>
          <w:p w14:paraId="41787DAE" w14:textId="77777777" w:rsidR="00834EB0" w:rsidRPr="00834EB0" w:rsidRDefault="00834EB0" w:rsidP="00834EB0">
            <w:pPr>
              <w:spacing w:line="276" w:lineRule="auto"/>
              <w:rPr>
                <w:rFonts w:ascii="Times New Roman" w:eastAsia="Aptos" w:hAnsi="Times New Roman" w:cs="Times New Roman"/>
                <w:lang w:val="en-US"/>
              </w:rPr>
            </w:pPr>
            <w:r w:rsidRPr="00834EB0">
              <w:rPr>
                <w:rFonts w:ascii="Times New Roman" w:eastAsia="Aptos" w:hAnsi="Times New Roman" w:cs="Times New Roman"/>
                <w:lang w:val="en-US"/>
              </w:rPr>
              <w:t xml:space="preserve"> Annex XLII </w:t>
            </w:r>
            <w:proofErr w:type="spellStart"/>
            <w:r w:rsidRPr="00834EB0">
              <w:rPr>
                <w:rFonts w:ascii="Times New Roman" w:eastAsia="Aptos" w:hAnsi="Times New Roman" w:cs="Times New Roman"/>
                <w:lang w:val="en-US"/>
              </w:rPr>
              <w:t>sanktsioonid</w:t>
            </w:r>
            <w:proofErr w:type="spellEnd"/>
          </w:p>
          <w:p w14:paraId="467A6569" w14:textId="77777777" w:rsidR="00834EB0" w:rsidRPr="00834EB0" w:rsidRDefault="00834EB0" w:rsidP="00834EB0">
            <w:pPr>
              <w:spacing w:line="276" w:lineRule="auto"/>
              <w:rPr>
                <w:rFonts w:ascii="Times New Roman" w:eastAsia="Aptos" w:hAnsi="Times New Roman" w:cs="Times New Roman"/>
                <w:lang w:val="en-US"/>
              </w:rPr>
            </w:pPr>
            <w:r w:rsidRPr="00834EB0">
              <w:rPr>
                <w:rFonts w:ascii="Times New Roman" w:eastAsia="Aptos" w:hAnsi="Times New Roman" w:cs="Times New Roman"/>
                <w:lang w:val="en-US"/>
              </w:rPr>
              <w:t xml:space="preserve">(Regulation 833/2014, 15.–17. </w:t>
            </w:r>
            <w:proofErr w:type="spellStart"/>
            <w:r w:rsidRPr="00834EB0">
              <w:rPr>
                <w:rFonts w:ascii="Times New Roman" w:eastAsia="Aptos" w:hAnsi="Times New Roman" w:cs="Times New Roman"/>
                <w:lang w:val="en-US"/>
              </w:rPr>
              <w:t>paketid</w:t>
            </w:r>
            <w:proofErr w:type="spellEnd"/>
            <w:r w:rsidRPr="00834EB0">
              <w:rPr>
                <w:rFonts w:ascii="Times New Roman" w:eastAsia="Aptos" w:hAnsi="Times New Roman" w:cs="Times New Roman"/>
                <w:lang w:val="en-US"/>
              </w:rPr>
              <w:t>)</w:t>
            </w:r>
          </w:p>
        </w:tc>
        <w:tc>
          <w:tcPr>
            <w:tcW w:w="1492" w:type="dxa"/>
            <w:tcMar>
              <w:top w:w="15" w:type="dxa"/>
              <w:left w:w="15" w:type="dxa"/>
              <w:bottom w:w="15" w:type="dxa"/>
              <w:right w:w="15" w:type="dxa"/>
            </w:tcMar>
            <w:vAlign w:val="center"/>
            <w:hideMark/>
          </w:tcPr>
          <w:p w14:paraId="609147E2" w14:textId="77777777" w:rsidR="00834EB0" w:rsidRPr="00834EB0" w:rsidRDefault="00834EB0" w:rsidP="00834EB0">
            <w:pPr>
              <w:spacing w:line="276" w:lineRule="auto"/>
              <w:rPr>
                <w:rFonts w:ascii="Times New Roman" w:eastAsia="Aptos" w:hAnsi="Times New Roman" w:cs="Times New Roman"/>
              </w:rPr>
            </w:pPr>
            <w:r w:rsidRPr="00834EB0">
              <w:rPr>
                <w:rFonts w:ascii="Times New Roman" w:eastAsia="Aptos" w:hAnsi="Times New Roman" w:cs="Times New Roman"/>
                <w:lang w:val="en-US"/>
              </w:rPr>
              <w:t xml:space="preserve"> </w:t>
            </w:r>
            <w:r w:rsidRPr="00834EB0">
              <w:rPr>
                <w:rFonts w:ascii="Times New Roman" w:eastAsia="Aptos" w:hAnsi="Times New Roman" w:cs="Times New Roman"/>
              </w:rPr>
              <w:t>Kõik EL   operaatorid</w:t>
            </w:r>
          </w:p>
        </w:tc>
        <w:tc>
          <w:tcPr>
            <w:tcW w:w="4367" w:type="dxa"/>
            <w:tcMar>
              <w:top w:w="15" w:type="dxa"/>
              <w:left w:w="15" w:type="dxa"/>
              <w:bottom w:w="15" w:type="dxa"/>
              <w:right w:w="15" w:type="dxa"/>
            </w:tcMar>
            <w:vAlign w:val="center"/>
            <w:hideMark/>
          </w:tcPr>
          <w:p w14:paraId="407F81AB"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Nimekirjas olevate laevade teenusteta jäämine, portidesse juurdepääsu keelamine, müük ja rahastamine keelatud.</w:t>
            </w:r>
          </w:p>
        </w:tc>
      </w:tr>
      <w:tr w:rsidR="00834EB0" w:rsidRPr="00834EB0" w14:paraId="797EDF27" w14:textId="77777777">
        <w:trPr>
          <w:tblCellSpacing w:w="15" w:type="dxa"/>
        </w:trPr>
        <w:tc>
          <w:tcPr>
            <w:tcW w:w="0" w:type="auto"/>
            <w:tcMar>
              <w:top w:w="15" w:type="dxa"/>
              <w:left w:w="15" w:type="dxa"/>
              <w:bottom w:w="15" w:type="dxa"/>
              <w:right w:w="15" w:type="dxa"/>
            </w:tcMar>
            <w:vAlign w:val="center"/>
            <w:hideMark/>
          </w:tcPr>
          <w:p w14:paraId="31C040F5"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 xml:space="preserve"> Pakettide laienemine (15.–18.)</w:t>
            </w:r>
          </w:p>
        </w:tc>
        <w:tc>
          <w:tcPr>
            <w:tcW w:w="1492" w:type="dxa"/>
            <w:tcMar>
              <w:top w:w="15" w:type="dxa"/>
              <w:left w:w="15" w:type="dxa"/>
              <w:bottom w:w="15" w:type="dxa"/>
              <w:right w:w="15" w:type="dxa"/>
            </w:tcMar>
            <w:vAlign w:val="center"/>
            <w:hideMark/>
          </w:tcPr>
          <w:p w14:paraId="3788BEDC" w14:textId="77777777" w:rsidR="00834EB0"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 xml:space="preserve"> Kõik </w:t>
            </w:r>
          </w:p>
          <w:p w14:paraId="140EDF2F" w14:textId="77777777" w:rsidR="00834EB0"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EL isikud</w:t>
            </w:r>
          </w:p>
        </w:tc>
        <w:tc>
          <w:tcPr>
            <w:tcW w:w="4367" w:type="dxa"/>
            <w:tcMar>
              <w:top w:w="15" w:type="dxa"/>
              <w:left w:w="15" w:type="dxa"/>
              <w:bottom w:w="15" w:type="dxa"/>
              <w:right w:w="15" w:type="dxa"/>
            </w:tcMar>
            <w:vAlign w:val="center"/>
            <w:hideMark/>
          </w:tcPr>
          <w:p w14:paraId="1994B8B6" w14:textId="77777777" w:rsidR="00834EB0" w:rsidRPr="00834EB0" w:rsidRDefault="00834EB0" w:rsidP="00834EB0">
            <w:pPr>
              <w:spacing w:line="276" w:lineRule="auto"/>
              <w:jc w:val="both"/>
              <w:rPr>
                <w:rFonts w:ascii="Times New Roman" w:eastAsia="Aptos" w:hAnsi="Times New Roman" w:cs="Times New Roman"/>
              </w:rPr>
            </w:pPr>
            <w:r w:rsidRPr="00834EB0">
              <w:rPr>
                <w:rFonts w:ascii="Times New Roman" w:eastAsia="Aptos" w:hAnsi="Times New Roman" w:cs="Times New Roman"/>
              </w:rPr>
              <w:t>Sanktsioneeritud laevade hulk kasvab kiirelt – suurem risk ja piirangud.</w:t>
            </w:r>
          </w:p>
        </w:tc>
      </w:tr>
    </w:tbl>
    <w:p w14:paraId="5F9ABE38" w14:textId="77777777" w:rsidR="00A37B20" w:rsidRDefault="00A37B20" w:rsidP="00A37B20">
      <w:pPr>
        <w:pStyle w:val="Vahedeta"/>
      </w:pPr>
    </w:p>
    <w:p w14:paraId="2B553381" w14:textId="559210C8" w:rsidR="00834EB0"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Lähtudes eeltoodust ning VTK laevatehingute vorminõude leevendamise eesmärgist on võimalik järeldada, et vorminõude leevendamisega kasvavad nii rahapesuga seotud kui ka rahvusvaheliste sanktsioonide rakendamisega seotud riskid notarite tegevuses, mida notar ei saa notariaalse kinnitamise vorminõude korral nõuetekohaselt maandada.</w:t>
      </w:r>
    </w:p>
    <w:p w14:paraId="7EA5A823" w14:textId="77777777" w:rsidR="00834EB0"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VTK punktis 4.5.2 on sätestatud, et eelmainitud kohustus läheb Transpordiametile ehk „nõuete leevendamisega tuleb Transpordiametil rakendada meetmeid dokumentide kontrollimiseks ja registrikannete usaldusväärsuse tagamiseks.“ Lähtudes eeltoodust esineb risk, et vastavasisulise kontrolli hakatakse tegema alles peale tehingut, mis ei täida hoolsusmeetmete kohaldamise eesmärki. Lisaks eelmainitud riskile on ka küsitav asjaolu, kes ja mis etapil hakkab kontrollima laevatehingus osalejate raha päritolu ja tausta.</w:t>
      </w:r>
    </w:p>
    <w:p w14:paraId="4867CA25" w14:textId="3ED0DCEA" w:rsidR="00F03A41" w:rsidRPr="00834EB0" w:rsidRDefault="00834EB0" w:rsidP="00834EB0">
      <w:pPr>
        <w:spacing w:after="160" w:line="276" w:lineRule="auto"/>
        <w:jc w:val="both"/>
        <w:rPr>
          <w:rFonts w:ascii="Times New Roman" w:eastAsia="Aptos" w:hAnsi="Times New Roman" w:cs="Times New Roman"/>
        </w:rPr>
      </w:pPr>
      <w:r w:rsidRPr="00834EB0">
        <w:rPr>
          <w:rFonts w:ascii="Times New Roman" w:eastAsia="Aptos" w:hAnsi="Times New Roman" w:cs="Times New Roman"/>
        </w:rPr>
        <w:t xml:space="preserve">Arvestades laevatehingute keerukust ja mainitud riske, leiame, et üksnes notariaalsest kinnitamisest ja dokumentide kontrollist Transpordiameti poolt peale tehingut ei piisa. Hoolsusmeetmeid kohaldatakse kogumis ja enne tehingut. Tuginedes eeltoodule on alust järeldada, et sellisel juhul kannatab ka õigeaegne teatamiskohustuse täitmine ehk teadete esitamine Rahapesu Andmebüroole. </w:t>
      </w:r>
    </w:p>
    <w:p w14:paraId="23C8934A" w14:textId="014AE6C3" w:rsidR="00834EB0" w:rsidRDefault="00834EB0" w:rsidP="00834EB0">
      <w:pPr>
        <w:jc w:val="both"/>
        <w:rPr>
          <w:rFonts w:ascii="Times New Roman" w:eastAsia="Times New Roman" w:hAnsi="Times New Roman" w:cs="Times New Roman"/>
          <w:b/>
          <w:bCs/>
          <w:noProof/>
          <w:kern w:val="0"/>
          <w:lang w:val="en-GB"/>
          <w14:ligatures w14:val="none"/>
        </w:rPr>
      </w:pPr>
      <w:r w:rsidRPr="00834EB0">
        <w:rPr>
          <w:rFonts w:ascii="Times New Roman" w:eastAsia="Times New Roman" w:hAnsi="Times New Roman" w:cs="Times New Roman"/>
          <w:b/>
          <w:bCs/>
          <w:noProof/>
          <w:kern w:val="0"/>
          <w:lang w:val="en-GB"/>
          <w14:ligatures w14:val="none"/>
        </w:rPr>
        <w:lastRenderedPageBreak/>
        <w:t xml:space="preserve">III  Pandilepingute vorminõudest </w:t>
      </w:r>
    </w:p>
    <w:p w14:paraId="5D04B413" w14:textId="77777777" w:rsidR="00F03A41" w:rsidRPr="00834EB0" w:rsidRDefault="00F03A41" w:rsidP="00834EB0">
      <w:pPr>
        <w:jc w:val="both"/>
        <w:rPr>
          <w:rFonts w:ascii="Times New Roman" w:eastAsia="Times New Roman" w:hAnsi="Times New Roman" w:cs="Times New Roman"/>
          <w:b/>
          <w:bCs/>
          <w:noProof/>
          <w:kern w:val="0"/>
          <w:lang w:val="en-GB"/>
          <w14:ligatures w14:val="none"/>
        </w:rPr>
      </w:pPr>
    </w:p>
    <w:p w14:paraId="1904491D" w14:textId="29245980" w:rsidR="00BE33F5" w:rsidRDefault="00834EB0" w:rsidP="00834EB0">
      <w:pPr>
        <w:jc w:val="both"/>
        <w:rPr>
          <w:rFonts w:ascii="Times New Roman" w:eastAsia="Times New Roman" w:hAnsi="Times New Roman" w:cs="Times New Roman"/>
          <w:noProof/>
          <w:kern w:val="0"/>
          <w14:ligatures w14:val="none"/>
        </w:rPr>
      </w:pPr>
      <w:r w:rsidRPr="00834EB0">
        <w:rPr>
          <w:rFonts w:ascii="Times New Roman" w:eastAsia="Times New Roman" w:hAnsi="Times New Roman" w:cs="Times New Roman"/>
          <w:noProof/>
          <w:kern w:val="0"/>
          <w:lang w:val="en-GB"/>
          <w14:ligatures w14:val="none"/>
        </w:rPr>
        <w:t xml:space="preserve">VTK punktis 2.3. on sätestatud ettepanek seada </w:t>
      </w:r>
      <w:r w:rsidRPr="00834EB0">
        <w:rPr>
          <w:rFonts w:ascii="Times New Roman" w:eastAsia="Times New Roman" w:hAnsi="Times New Roman" w:cs="Times New Roman"/>
          <w:noProof/>
          <w:kern w:val="0"/>
          <w14:ligatures w14:val="none"/>
        </w:rPr>
        <w:t>pandi seadmisel, muutmisel ning kustutamisel vorminõudena notariaalne kinnitamine, sest praktikas pole notaril vajalik tõestada lepingu sisu, kuna merenduses kasutatakse laevade võõrandamisel rahvusvahelises praktikas kujunenud tüüplepinguid. Samuti, et l</w:t>
      </w:r>
      <w:r w:rsidR="0070419B">
        <w:rPr>
          <w:rFonts w:ascii="Times New Roman" w:eastAsia="Times New Roman" w:hAnsi="Times New Roman" w:cs="Times New Roman"/>
          <w:noProof/>
          <w:kern w:val="0"/>
          <w14:ligatures w14:val="none"/>
        </w:rPr>
        <w:t>a</w:t>
      </w:r>
      <w:r w:rsidRPr="00834EB0">
        <w:rPr>
          <w:rFonts w:ascii="Times New Roman" w:eastAsia="Times New Roman" w:hAnsi="Times New Roman" w:cs="Times New Roman"/>
          <w:noProof/>
          <w:kern w:val="0"/>
          <w14:ligatures w14:val="none"/>
        </w:rPr>
        <w:t xml:space="preserve">evade registerpandiga koormamise juures tuleb pandipidaja huvide kaitsmiseks sätestada võimalus sõlmida notariaalselt kinnitud vormis kohesele sundtäitmisele allumise kokkulepe. </w:t>
      </w:r>
    </w:p>
    <w:p w14:paraId="4063BE01" w14:textId="77777777" w:rsidR="00BE33F5" w:rsidRDefault="00BE33F5" w:rsidP="00834EB0">
      <w:pPr>
        <w:jc w:val="both"/>
        <w:rPr>
          <w:rFonts w:ascii="Times New Roman" w:eastAsia="Times New Roman" w:hAnsi="Times New Roman" w:cs="Times New Roman"/>
          <w:noProof/>
          <w:kern w:val="0"/>
          <w14:ligatures w14:val="none"/>
        </w:rPr>
      </w:pPr>
    </w:p>
    <w:p w14:paraId="60C736C0" w14:textId="2B63B99F" w:rsidR="00834EB0" w:rsidRPr="00834EB0" w:rsidRDefault="00834EB0" w:rsidP="00834EB0">
      <w:pPr>
        <w:jc w:val="both"/>
        <w:rPr>
          <w:rFonts w:ascii="Times New Roman" w:eastAsia="Times New Roman" w:hAnsi="Times New Roman" w:cs="Times New Roman"/>
          <w:noProof/>
          <w:kern w:val="0"/>
          <w14:ligatures w14:val="none"/>
        </w:rPr>
      </w:pPr>
      <w:r w:rsidRPr="00834EB0">
        <w:rPr>
          <w:rFonts w:ascii="Times New Roman" w:eastAsia="Times New Roman" w:hAnsi="Times New Roman" w:cs="Times New Roman"/>
          <w:noProof/>
          <w:kern w:val="0"/>
          <w14:ligatures w14:val="none"/>
        </w:rPr>
        <w:t>VTK kohaselt ei ole kohesele sundtäitmisele allumise kokkuleppe notariaalne tõestamine laevade puhul põhjendatud</w:t>
      </w:r>
      <w:r w:rsidR="00BE33F5">
        <w:rPr>
          <w:rFonts w:ascii="Times New Roman" w:eastAsia="Times New Roman" w:hAnsi="Times New Roman" w:cs="Times New Roman"/>
          <w:noProof/>
          <w:kern w:val="0"/>
          <w14:ligatures w14:val="none"/>
        </w:rPr>
        <w:t xml:space="preserve">, </w:t>
      </w:r>
      <w:r w:rsidRPr="00834EB0">
        <w:rPr>
          <w:rFonts w:ascii="Times New Roman" w:eastAsia="Times New Roman" w:hAnsi="Times New Roman" w:cs="Times New Roman"/>
          <w:noProof/>
          <w:kern w:val="0"/>
          <w14:ligatures w14:val="none"/>
        </w:rPr>
        <w:t>sest laevade puhul sõlmib laevaomaniku nimel lepinguid ning vormistab muid õiguslikke dokumente üldjuhul juriidiliste teadmistega isik, kellele ei ole eraldi vaja sundtäitmise kokkuleppega seonduvaid riske selgitada.</w:t>
      </w:r>
    </w:p>
    <w:p w14:paraId="558C5EC8" w14:textId="77777777" w:rsidR="00834EB0" w:rsidRPr="00834EB0" w:rsidRDefault="00834EB0" w:rsidP="00834EB0">
      <w:pPr>
        <w:jc w:val="both"/>
        <w:rPr>
          <w:rFonts w:ascii="Times New Roman" w:eastAsia="Times New Roman" w:hAnsi="Times New Roman" w:cs="Times New Roman"/>
          <w:noProof/>
          <w:kern w:val="0"/>
          <w14:ligatures w14:val="none"/>
        </w:rPr>
      </w:pPr>
    </w:p>
    <w:p w14:paraId="051D023D" w14:textId="29736996" w:rsidR="00834EB0" w:rsidRPr="00834EB0" w:rsidRDefault="00834EB0" w:rsidP="00834EB0">
      <w:pPr>
        <w:jc w:val="both"/>
        <w:rPr>
          <w:rFonts w:ascii="Times New Roman" w:eastAsia="Times New Roman" w:hAnsi="Times New Roman" w:cs="Times New Roman"/>
          <w:noProof/>
          <w:kern w:val="0"/>
          <w14:ligatures w14:val="none"/>
        </w:rPr>
      </w:pPr>
      <w:r w:rsidRPr="00834EB0">
        <w:rPr>
          <w:rFonts w:ascii="Times New Roman" w:eastAsia="Times New Roman" w:hAnsi="Times New Roman" w:cs="Times New Roman"/>
          <w:noProof/>
          <w:kern w:val="0"/>
          <w14:ligatures w14:val="none"/>
        </w:rPr>
        <w:t>Leiame, et laevade puhul on analoogselt kaubamärgi pantimisega põhjendatud, et pant tekiks selle kohta registrisse kande tegemisega laeva omaniku ja pandipidaja notariaalselt tõestatud pandi seadmise kokkuleppe alusel. Notariaalne tõestamine tagab tehingu õigusliku selguse, turvalisuse ja kontrollitavuse.</w:t>
      </w:r>
      <w:r w:rsidR="00F03A41">
        <w:rPr>
          <w:rFonts w:ascii="Times New Roman" w:eastAsia="Times New Roman" w:hAnsi="Times New Roman" w:cs="Times New Roman"/>
          <w:noProof/>
          <w:kern w:val="0"/>
          <w14:ligatures w14:val="none"/>
        </w:rPr>
        <w:t xml:space="preserve"> </w:t>
      </w:r>
      <w:r w:rsidRPr="00834EB0">
        <w:rPr>
          <w:rFonts w:ascii="Times New Roman" w:eastAsia="Times New Roman" w:hAnsi="Times New Roman" w:cs="Times New Roman"/>
          <w:noProof/>
          <w:kern w:val="0"/>
          <w14:ligatures w14:val="none"/>
        </w:rPr>
        <w:t xml:space="preserve">Notariaalselt tõestatud leping on registri ja täitemenetluse organite jaoks õigusselge alus, mis vähendab vaidluste ja rahvusvaheliste õigusriskide tekkimise võimalust. See on vajalik laevandussektori kõrgeväärtuslike tehingute riskide maandamiseks. </w:t>
      </w:r>
    </w:p>
    <w:p w14:paraId="44EBA0FF"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1E8C3161" w14:textId="77777777" w:rsidR="00834EB0" w:rsidRPr="00834EB0" w:rsidRDefault="00834EB0" w:rsidP="00834EB0">
      <w:pPr>
        <w:jc w:val="both"/>
        <w:rPr>
          <w:rFonts w:ascii="Times New Roman" w:eastAsia="Times New Roman" w:hAnsi="Times New Roman" w:cs="Times New Roman"/>
          <w:noProof/>
          <w:kern w:val="0"/>
          <w:lang w:val="en-GB"/>
          <w14:ligatures w14:val="none"/>
        </w:rPr>
      </w:pPr>
      <w:r w:rsidRPr="00834EB0">
        <w:rPr>
          <w:rFonts w:ascii="Times New Roman" w:eastAsia="Times New Roman" w:hAnsi="Times New Roman" w:cs="Times New Roman"/>
          <w:noProof/>
          <w:kern w:val="0"/>
          <w:lang w:val="en-GB"/>
          <w14:ligatures w14:val="none"/>
        </w:rPr>
        <w:t xml:space="preserve">Arvesse võttes eeltoodut palume VTK järgselt koostatavast eelnõust välja jätta notariaalse tõestamise vorminõude kaotamisega seotud muudatused. Vajadusel oleme valmis oma seisukohti selgitama ja eelnõuga seotud aruteludes osalema. </w:t>
      </w:r>
    </w:p>
    <w:p w14:paraId="034F0872" w14:textId="77777777" w:rsidR="00834EB0" w:rsidRPr="00834EB0" w:rsidRDefault="00834EB0" w:rsidP="00834EB0">
      <w:pPr>
        <w:jc w:val="both"/>
        <w:rPr>
          <w:rFonts w:ascii="Times New Roman" w:eastAsia="Times New Roman" w:hAnsi="Times New Roman" w:cs="Times New Roman"/>
          <w:noProof/>
          <w:kern w:val="0"/>
          <w:lang w:val="en-GB"/>
          <w14:ligatures w14:val="none"/>
        </w:rPr>
      </w:pPr>
    </w:p>
    <w:p w14:paraId="0A03A55B" w14:textId="77777777" w:rsidR="00834EB0" w:rsidRPr="00834EB0" w:rsidRDefault="00834EB0" w:rsidP="00834EB0">
      <w:pPr>
        <w:jc w:val="both"/>
        <w:rPr>
          <w:rFonts w:ascii="Times New Roman" w:eastAsia="Times New Roman" w:hAnsi="Times New Roman" w:cs="Times New Roman"/>
          <w:noProof/>
          <w:kern w:val="0"/>
          <w:lang w:val="en-US"/>
          <w14:ligatures w14:val="none"/>
        </w:rPr>
      </w:pPr>
    </w:p>
    <w:p w14:paraId="48EB406B" w14:textId="77777777" w:rsidR="00834EB0" w:rsidRPr="00834EB0" w:rsidRDefault="00834EB0" w:rsidP="00834EB0">
      <w:pPr>
        <w:jc w:val="both"/>
        <w:rPr>
          <w:rFonts w:ascii="Times New Roman" w:eastAsia="Times New Roman" w:hAnsi="Times New Roman" w:cs="Times New Roman"/>
          <w:noProof/>
          <w:kern w:val="0"/>
          <w:lang w:val="en-US"/>
          <w14:ligatures w14:val="none"/>
        </w:rPr>
      </w:pPr>
      <w:r w:rsidRPr="00834EB0">
        <w:rPr>
          <w:rFonts w:ascii="Times New Roman" w:eastAsia="Times New Roman" w:hAnsi="Times New Roman" w:cs="Times New Roman"/>
          <w:noProof/>
          <w:kern w:val="0"/>
          <w:lang w:val="en-US"/>
          <w14:ligatures w14:val="none"/>
        </w:rPr>
        <w:t>Lugupidamisega</w:t>
      </w:r>
    </w:p>
    <w:p w14:paraId="041327BA" w14:textId="77777777" w:rsidR="00834EB0" w:rsidRPr="00834EB0" w:rsidRDefault="00834EB0" w:rsidP="00834EB0">
      <w:pPr>
        <w:jc w:val="both"/>
        <w:rPr>
          <w:rFonts w:ascii="Times New Roman" w:eastAsia="Times New Roman" w:hAnsi="Times New Roman" w:cs="Times New Roman"/>
          <w:noProof/>
          <w:kern w:val="0"/>
          <w:lang w:val="en-US"/>
          <w14:ligatures w14:val="none"/>
        </w:rPr>
      </w:pPr>
    </w:p>
    <w:p w14:paraId="6DE7AD1C" w14:textId="77777777" w:rsidR="00834EB0" w:rsidRPr="00834EB0" w:rsidRDefault="00834EB0" w:rsidP="00834EB0">
      <w:pPr>
        <w:jc w:val="both"/>
        <w:rPr>
          <w:rFonts w:ascii="Times New Roman" w:eastAsia="Times New Roman" w:hAnsi="Times New Roman" w:cs="Times New Roman"/>
          <w:noProof/>
          <w:kern w:val="0"/>
          <w:lang w:val="en-US"/>
          <w14:ligatures w14:val="none"/>
        </w:rPr>
      </w:pPr>
    </w:p>
    <w:p w14:paraId="6BE90142" w14:textId="0AB4538E" w:rsidR="00834EB0" w:rsidRPr="00834EB0" w:rsidRDefault="00EF72F5" w:rsidP="00834EB0">
      <w:pPr>
        <w:jc w:val="both"/>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Kaidi Lippus</w:t>
      </w:r>
    </w:p>
    <w:p w14:paraId="64E22501" w14:textId="08B1F56F" w:rsidR="00834EB0" w:rsidRPr="00834EB0" w:rsidRDefault="00834EB0" w:rsidP="00834EB0">
      <w:pPr>
        <w:jc w:val="both"/>
        <w:rPr>
          <w:rFonts w:ascii="Times New Roman" w:eastAsia="Times New Roman" w:hAnsi="Times New Roman" w:cs="Times New Roman"/>
          <w:noProof/>
          <w:kern w:val="0"/>
          <w:lang w:val="de-DE"/>
          <w14:ligatures w14:val="none"/>
        </w:rPr>
      </w:pPr>
      <w:r w:rsidRPr="00834EB0">
        <w:rPr>
          <w:rFonts w:ascii="Times New Roman" w:eastAsia="Times New Roman" w:hAnsi="Times New Roman" w:cs="Times New Roman"/>
          <w:noProof/>
          <w:kern w:val="0"/>
          <w:lang w:val="de-DE"/>
          <w14:ligatures w14:val="none"/>
        </w:rPr>
        <w:t>Notarite Koja</w:t>
      </w:r>
      <w:r w:rsidR="006D7701">
        <w:rPr>
          <w:rFonts w:ascii="Times New Roman" w:eastAsia="Times New Roman" w:hAnsi="Times New Roman" w:cs="Times New Roman"/>
          <w:noProof/>
          <w:kern w:val="0"/>
          <w:lang w:val="de-DE"/>
          <w14:ligatures w14:val="none"/>
        </w:rPr>
        <w:t xml:space="preserve"> tegevdirektor </w:t>
      </w:r>
    </w:p>
    <w:p w14:paraId="52B28415" w14:textId="77777777" w:rsidR="00834EB0" w:rsidRPr="00834EB0" w:rsidRDefault="00834EB0" w:rsidP="00834EB0">
      <w:pPr>
        <w:jc w:val="both"/>
        <w:rPr>
          <w:rFonts w:ascii="Times New Roman" w:eastAsia="Times New Roman" w:hAnsi="Times New Roman" w:cs="Times New Roman"/>
          <w:i/>
          <w:noProof/>
          <w:kern w:val="0"/>
          <w:lang w:val="en-GB"/>
          <w14:ligatures w14:val="none"/>
        </w:rPr>
      </w:pPr>
      <w:r w:rsidRPr="00834EB0">
        <w:rPr>
          <w:rFonts w:ascii="Times New Roman" w:eastAsia="Times New Roman" w:hAnsi="Times New Roman" w:cs="Times New Roman"/>
          <w:i/>
          <w:noProof/>
          <w:kern w:val="0"/>
          <w:lang w:val="en-GB"/>
          <w14:ligatures w14:val="none"/>
        </w:rPr>
        <w:t>(allkirjastatud digitaalselt)</w:t>
      </w:r>
    </w:p>
    <w:p w14:paraId="258208F9" w14:textId="77777777" w:rsidR="00834EB0" w:rsidRPr="00834EB0" w:rsidRDefault="00834EB0" w:rsidP="00834EB0">
      <w:pPr>
        <w:jc w:val="both"/>
        <w:rPr>
          <w:rFonts w:ascii="Times New Roman" w:eastAsia="Times New Roman" w:hAnsi="Times New Roman" w:cs="Times New Roman"/>
          <w:bCs/>
          <w:color w:val="000000"/>
          <w:kern w:val="0"/>
          <w:lang w:eastAsia="et-EE"/>
          <w14:ligatures w14:val="none"/>
        </w:rPr>
      </w:pPr>
    </w:p>
    <w:p w14:paraId="089F0F27" w14:textId="77777777" w:rsidR="00834EB0" w:rsidRPr="00834EB0" w:rsidRDefault="00834EB0" w:rsidP="00834EB0">
      <w:pPr>
        <w:jc w:val="both"/>
        <w:rPr>
          <w:rFonts w:ascii="Times New Roman" w:eastAsia="Times New Roman" w:hAnsi="Times New Roman" w:cs="Times New Roman"/>
          <w:bCs/>
          <w:color w:val="000000"/>
          <w:kern w:val="0"/>
          <w:lang w:eastAsia="et-EE"/>
          <w14:ligatures w14:val="none"/>
        </w:rPr>
      </w:pPr>
    </w:p>
    <w:p w14:paraId="591504B6" w14:textId="77777777" w:rsidR="00834EB0" w:rsidRPr="00834EB0" w:rsidRDefault="00834EB0" w:rsidP="00834EB0">
      <w:pPr>
        <w:jc w:val="both"/>
        <w:rPr>
          <w:rFonts w:ascii="Times New Roman" w:eastAsia="Times New Roman" w:hAnsi="Times New Roman" w:cs="Times New Roman"/>
          <w:bCs/>
          <w:color w:val="000000"/>
          <w:kern w:val="0"/>
          <w:lang w:eastAsia="et-EE"/>
          <w14:ligatures w14:val="none"/>
        </w:rPr>
      </w:pPr>
    </w:p>
    <w:p w14:paraId="1662A724" w14:textId="77777777" w:rsidR="00834EB0" w:rsidRPr="00834EB0" w:rsidRDefault="00834EB0" w:rsidP="00834EB0">
      <w:pPr>
        <w:jc w:val="both"/>
        <w:rPr>
          <w:rFonts w:ascii="Times New Roman" w:eastAsia="Times New Roman" w:hAnsi="Times New Roman" w:cs="Times New Roman"/>
          <w:bCs/>
          <w:color w:val="000000"/>
          <w:kern w:val="0"/>
          <w:lang w:eastAsia="et-EE"/>
          <w14:ligatures w14:val="none"/>
        </w:rPr>
      </w:pPr>
    </w:p>
    <w:p w14:paraId="15BD6D0F" w14:textId="77777777" w:rsidR="00834EB0" w:rsidRDefault="00834EB0" w:rsidP="006C1246">
      <w:pPr>
        <w:rPr>
          <w:rFonts w:ascii="Times New Roman" w:eastAsia="Times New Roman" w:hAnsi="Times New Roman" w:cs="Times New Roman"/>
          <w:b/>
          <w:noProof/>
          <w:kern w:val="0"/>
          <w:lang w:val="de-DE"/>
          <w14:ligatures w14:val="none"/>
        </w:rPr>
      </w:pPr>
    </w:p>
    <w:p w14:paraId="51F75207" w14:textId="6531858E" w:rsidR="006D7701" w:rsidRPr="00B305CA" w:rsidRDefault="00B305CA" w:rsidP="006C1246">
      <w:pPr>
        <w:rPr>
          <w:rFonts w:ascii="Times New Roman" w:eastAsia="Times New Roman" w:hAnsi="Times New Roman" w:cs="Times New Roman"/>
          <w:bCs/>
          <w:noProof/>
          <w:kern w:val="0"/>
          <w:lang w:val="de-DE"/>
          <w14:ligatures w14:val="none"/>
        </w:rPr>
      </w:pPr>
      <w:r w:rsidRPr="00B305CA">
        <w:rPr>
          <w:rFonts w:ascii="Times New Roman" w:eastAsia="Times New Roman" w:hAnsi="Times New Roman" w:cs="Times New Roman"/>
          <w:bCs/>
          <w:noProof/>
          <w:kern w:val="0"/>
          <w:lang w:val="de-DE"/>
          <w14:ligatures w14:val="none"/>
        </w:rPr>
        <w:t xml:space="preserve">Koopia: Justiits- ja Digiministeerium </w:t>
      </w:r>
    </w:p>
    <w:p w14:paraId="2394A847" w14:textId="77777777" w:rsidR="006D7701" w:rsidRDefault="006D7701" w:rsidP="006C1246">
      <w:pPr>
        <w:rPr>
          <w:rFonts w:ascii="Times New Roman" w:eastAsia="Times New Roman" w:hAnsi="Times New Roman" w:cs="Times New Roman"/>
          <w:b/>
          <w:noProof/>
          <w:kern w:val="0"/>
          <w:lang w:val="de-DE"/>
          <w14:ligatures w14:val="none"/>
        </w:rPr>
      </w:pPr>
    </w:p>
    <w:p w14:paraId="769C8DCA" w14:textId="77777777" w:rsidR="006D7701" w:rsidRDefault="006D7701" w:rsidP="006C1246">
      <w:pPr>
        <w:rPr>
          <w:rFonts w:ascii="Times New Roman" w:eastAsia="Times New Roman" w:hAnsi="Times New Roman" w:cs="Times New Roman"/>
          <w:b/>
          <w:noProof/>
          <w:kern w:val="0"/>
          <w:lang w:val="de-DE"/>
          <w14:ligatures w14:val="none"/>
        </w:rPr>
      </w:pPr>
    </w:p>
    <w:p w14:paraId="4B6E1113" w14:textId="77777777" w:rsidR="006D7701" w:rsidRDefault="006D7701" w:rsidP="006C1246">
      <w:pPr>
        <w:rPr>
          <w:rFonts w:ascii="Times New Roman" w:eastAsia="Times New Roman" w:hAnsi="Times New Roman" w:cs="Times New Roman"/>
          <w:b/>
          <w:noProof/>
          <w:kern w:val="0"/>
          <w:lang w:val="de-DE"/>
          <w14:ligatures w14:val="none"/>
        </w:rPr>
      </w:pPr>
    </w:p>
    <w:p w14:paraId="6D52E3F0" w14:textId="77777777" w:rsidR="006D7701" w:rsidRDefault="006D7701" w:rsidP="006C1246">
      <w:pPr>
        <w:rPr>
          <w:rFonts w:ascii="Times New Roman" w:eastAsia="Times New Roman" w:hAnsi="Times New Roman" w:cs="Times New Roman"/>
          <w:b/>
          <w:noProof/>
          <w:kern w:val="0"/>
          <w:lang w:val="de-DE"/>
          <w14:ligatures w14:val="none"/>
        </w:rPr>
      </w:pPr>
    </w:p>
    <w:p w14:paraId="22272783" w14:textId="77777777" w:rsidR="006D7701" w:rsidRDefault="006D7701" w:rsidP="006C1246">
      <w:pPr>
        <w:rPr>
          <w:rFonts w:ascii="Times New Roman" w:eastAsia="Times New Roman" w:hAnsi="Times New Roman" w:cs="Times New Roman"/>
          <w:b/>
          <w:noProof/>
          <w:kern w:val="0"/>
          <w:lang w:val="de-DE"/>
          <w14:ligatures w14:val="none"/>
        </w:rPr>
      </w:pPr>
    </w:p>
    <w:p w14:paraId="176D15E4" w14:textId="77777777" w:rsidR="006D7701" w:rsidRDefault="006D7701" w:rsidP="006C1246">
      <w:pPr>
        <w:rPr>
          <w:rFonts w:ascii="Times New Roman" w:eastAsia="Times New Roman" w:hAnsi="Times New Roman" w:cs="Times New Roman"/>
          <w:b/>
          <w:noProof/>
          <w:kern w:val="0"/>
          <w:lang w:val="de-DE"/>
          <w14:ligatures w14:val="none"/>
        </w:rPr>
      </w:pPr>
    </w:p>
    <w:p w14:paraId="070BD297" w14:textId="77777777" w:rsidR="006D7701" w:rsidRPr="006D7701" w:rsidRDefault="006D7701" w:rsidP="006C1246">
      <w:pPr>
        <w:rPr>
          <w:rFonts w:ascii="Times New Roman" w:eastAsia="Times New Roman" w:hAnsi="Times New Roman" w:cs="Times New Roman"/>
          <w:b/>
          <w:noProof/>
          <w:kern w:val="0"/>
          <w:sz w:val="22"/>
          <w:szCs w:val="22"/>
          <w:lang w:val="de-DE"/>
          <w14:ligatures w14:val="none"/>
        </w:rPr>
      </w:pPr>
    </w:p>
    <w:p w14:paraId="0E0B9CA5" w14:textId="375F7C97" w:rsidR="006D7701" w:rsidRPr="006D7701" w:rsidRDefault="006D7701" w:rsidP="006C1246">
      <w:pPr>
        <w:rPr>
          <w:rFonts w:ascii="Times New Roman" w:eastAsia="Times New Roman" w:hAnsi="Times New Roman" w:cs="Times New Roman"/>
          <w:bCs/>
          <w:noProof/>
          <w:kern w:val="0"/>
          <w:sz w:val="22"/>
          <w:szCs w:val="22"/>
          <w:lang w:val="de-DE"/>
          <w14:ligatures w14:val="none"/>
        </w:rPr>
      </w:pPr>
      <w:r w:rsidRPr="006D7701">
        <w:rPr>
          <w:rFonts w:ascii="Times New Roman" w:eastAsia="Times New Roman" w:hAnsi="Times New Roman" w:cs="Times New Roman"/>
          <w:bCs/>
          <w:noProof/>
          <w:kern w:val="0"/>
          <w:sz w:val="22"/>
          <w:szCs w:val="22"/>
          <w:lang w:val="de-DE"/>
          <w14:ligatures w14:val="none"/>
        </w:rPr>
        <w:t>Kristel Tomberg</w:t>
      </w:r>
    </w:p>
    <w:p w14:paraId="30723FEB" w14:textId="76A5BC5A" w:rsidR="006D7701" w:rsidRPr="006D7701" w:rsidRDefault="006D7701" w:rsidP="006C1246">
      <w:pPr>
        <w:rPr>
          <w:rFonts w:ascii="Times New Roman" w:eastAsia="Times New Roman" w:hAnsi="Times New Roman" w:cs="Times New Roman"/>
          <w:bCs/>
          <w:noProof/>
          <w:kern w:val="0"/>
          <w:sz w:val="22"/>
          <w:szCs w:val="22"/>
          <w:lang w:val="de-DE"/>
          <w14:ligatures w14:val="none"/>
        </w:rPr>
      </w:pPr>
      <w:r w:rsidRPr="006D7701">
        <w:rPr>
          <w:rFonts w:ascii="Times New Roman" w:eastAsia="Times New Roman" w:hAnsi="Times New Roman" w:cs="Times New Roman"/>
          <w:bCs/>
          <w:noProof/>
          <w:kern w:val="0"/>
          <w:sz w:val="22"/>
          <w:szCs w:val="22"/>
          <w:lang w:val="de-DE"/>
          <w14:ligatures w14:val="none"/>
        </w:rPr>
        <w:t xml:space="preserve">Kaitti Persidski </w:t>
      </w:r>
    </w:p>
    <w:p w14:paraId="2776D015" w14:textId="32E61030" w:rsidR="006D7701" w:rsidRPr="006D7701" w:rsidRDefault="006D7701" w:rsidP="006C1246">
      <w:pPr>
        <w:rPr>
          <w:rFonts w:ascii="Times New Roman" w:eastAsia="Times New Roman" w:hAnsi="Times New Roman" w:cs="Times New Roman"/>
          <w:bCs/>
          <w:noProof/>
          <w:kern w:val="0"/>
          <w:sz w:val="22"/>
          <w:szCs w:val="22"/>
          <w:lang w:val="de-DE"/>
          <w14:ligatures w14:val="none"/>
        </w:rPr>
      </w:pPr>
      <w:r w:rsidRPr="006D7701">
        <w:rPr>
          <w:rFonts w:ascii="Times New Roman" w:eastAsia="Times New Roman" w:hAnsi="Times New Roman" w:cs="Times New Roman"/>
          <w:bCs/>
          <w:noProof/>
          <w:kern w:val="0"/>
          <w:sz w:val="22"/>
          <w:szCs w:val="22"/>
          <w:lang w:val="de-DE"/>
          <w14:ligatures w14:val="none"/>
        </w:rPr>
        <w:t xml:space="preserve">617 7903 </w:t>
      </w:r>
    </w:p>
    <w:sectPr w:rsidR="006D7701" w:rsidRPr="006D7701" w:rsidSect="00B92B32">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B9C0" w14:textId="77777777" w:rsidR="00EF7709" w:rsidRDefault="00EF7709" w:rsidP="00EF3D4B">
      <w:r>
        <w:separator/>
      </w:r>
    </w:p>
  </w:endnote>
  <w:endnote w:type="continuationSeparator" w:id="0">
    <w:p w14:paraId="569F0BBC" w14:textId="77777777" w:rsidR="00EF7709" w:rsidRDefault="00EF7709"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3D51" w14:textId="77777777" w:rsidR="00EF7709" w:rsidRDefault="00EF7709" w:rsidP="00EF3D4B">
      <w:r>
        <w:separator/>
      </w:r>
    </w:p>
  </w:footnote>
  <w:footnote w:type="continuationSeparator" w:id="0">
    <w:p w14:paraId="16B3BCB8" w14:textId="77777777" w:rsidR="00EF7709" w:rsidRDefault="00EF7709"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62336"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039695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2"/>
  </w:num>
  <w:num w:numId="3" w16cid:durableId="6916877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5934"/>
    <w:rsid w:val="000243CB"/>
    <w:rsid w:val="00026462"/>
    <w:rsid w:val="0002652E"/>
    <w:rsid w:val="00051478"/>
    <w:rsid w:val="0005684D"/>
    <w:rsid w:val="0006252A"/>
    <w:rsid w:val="000678B3"/>
    <w:rsid w:val="0007332C"/>
    <w:rsid w:val="0007650E"/>
    <w:rsid w:val="000848A0"/>
    <w:rsid w:val="000C74AB"/>
    <w:rsid w:val="000D022A"/>
    <w:rsid w:val="000D1DDC"/>
    <w:rsid w:val="000E67D2"/>
    <w:rsid w:val="000F2D87"/>
    <w:rsid w:val="00140CCC"/>
    <w:rsid w:val="00143791"/>
    <w:rsid w:val="00167B26"/>
    <w:rsid w:val="00171DFE"/>
    <w:rsid w:val="00172021"/>
    <w:rsid w:val="001727B4"/>
    <w:rsid w:val="00176133"/>
    <w:rsid w:val="00177646"/>
    <w:rsid w:val="001976F1"/>
    <w:rsid w:val="001979CA"/>
    <w:rsid w:val="001A2A7B"/>
    <w:rsid w:val="001A2B56"/>
    <w:rsid w:val="001A37A2"/>
    <w:rsid w:val="001B1384"/>
    <w:rsid w:val="001B58C7"/>
    <w:rsid w:val="001C2D4B"/>
    <w:rsid w:val="001E6DDA"/>
    <w:rsid w:val="00201FE4"/>
    <w:rsid w:val="0020744A"/>
    <w:rsid w:val="002122D1"/>
    <w:rsid w:val="00220742"/>
    <w:rsid w:val="00223853"/>
    <w:rsid w:val="00231434"/>
    <w:rsid w:val="00236197"/>
    <w:rsid w:val="0025029D"/>
    <w:rsid w:val="00253D6D"/>
    <w:rsid w:val="00261B92"/>
    <w:rsid w:val="00263E52"/>
    <w:rsid w:val="002809E2"/>
    <w:rsid w:val="0028224E"/>
    <w:rsid w:val="002B30F1"/>
    <w:rsid w:val="002C2DEF"/>
    <w:rsid w:val="002C3880"/>
    <w:rsid w:val="002D534E"/>
    <w:rsid w:val="002D78E4"/>
    <w:rsid w:val="002E07D1"/>
    <w:rsid w:val="002E1890"/>
    <w:rsid w:val="002E2280"/>
    <w:rsid w:val="002F2339"/>
    <w:rsid w:val="002F31D0"/>
    <w:rsid w:val="002F6683"/>
    <w:rsid w:val="00300323"/>
    <w:rsid w:val="00301C76"/>
    <w:rsid w:val="00302393"/>
    <w:rsid w:val="00323851"/>
    <w:rsid w:val="00327333"/>
    <w:rsid w:val="003302F7"/>
    <w:rsid w:val="00341C1B"/>
    <w:rsid w:val="00345877"/>
    <w:rsid w:val="00361F82"/>
    <w:rsid w:val="00370420"/>
    <w:rsid w:val="0037666B"/>
    <w:rsid w:val="003A04CE"/>
    <w:rsid w:val="003B18A7"/>
    <w:rsid w:val="003B199F"/>
    <w:rsid w:val="003B35DB"/>
    <w:rsid w:val="003B3B5D"/>
    <w:rsid w:val="003B6910"/>
    <w:rsid w:val="003D18D3"/>
    <w:rsid w:val="003D38E2"/>
    <w:rsid w:val="003D4833"/>
    <w:rsid w:val="003D4ADB"/>
    <w:rsid w:val="003E61BF"/>
    <w:rsid w:val="003E6D75"/>
    <w:rsid w:val="003F007B"/>
    <w:rsid w:val="00402259"/>
    <w:rsid w:val="00402F02"/>
    <w:rsid w:val="00403296"/>
    <w:rsid w:val="004201B5"/>
    <w:rsid w:val="004408AD"/>
    <w:rsid w:val="004630A2"/>
    <w:rsid w:val="00474EC4"/>
    <w:rsid w:val="00493E02"/>
    <w:rsid w:val="004A7805"/>
    <w:rsid w:val="004A7FC7"/>
    <w:rsid w:val="004C041A"/>
    <w:rsid w:val="004F14B7"/>
    <w:rsid w:val="004F29EB"/>
    <w:rsid w:val="0051157F"/>
    <w:rsid w:val="005352E3"/>
    <w:rsid w:val="00541CA5"/>
    <w:rsid w:val="005457DB"/>
    <w:rsid w:val="00550ABD"/>
    <w:rsid w:val="005520C3"/>
    <w:rsid w:val="00565657"/>
    <w:rsid w:val="005837A3"/>
    <w:rsid w:val="00592A50"/>
    <w:rsid w:val="00592DB3"/>
    <w:rsid w:val="00593D21"/>
    <w:rsid w:val="005948DC"/>
    <w:rsid w:val="005975C3"/>
    <w:rsid w:val="005A06D9"/>
    <w:rsid w:val="005A3A21"/>
    <w:rsid w:val="005A7BE4"/>
    <w:rsid w:val="005B55E3"/>
    <w:rsid w:val="005D0887"/>
    <w:rsid w:val="005F48D9"/>
    <w:rsid w:val="00600F93"/>
    <w:rsid w:val="00604B32"/>
    <w:rsid w:val="00610221"/>
    <w:rsid w:val="00630C48"/>
    <w:rsid w:val="00630F13"/>
    <w:rsid w:val="00635D29"/>
    <w:rsid w:val="00636E6A"/>
    <w:rsid w:val="006650E5"/>
    <w:rsid w:val="006726A3"/>
    <w:rsid w:val="00680600"/>
    <w:rsid w:val="00691F8B"/>
    <w:rsid w:val="00692E42"/>
    <w:rsid w:val="006C0595"/>
    <w:rsid w:val="006C1246"/>
    <w:rsid w:val="006C3B92"/>
    <w:rsid w:val="006C4BAC"/>
    <w:rsid w:val="006D7701"/>
    <w:rsid w:val="006E3F78"/>
    <w:rsid w:val="006E796B"/>
    <w:rsid w:val="006F08D0"/>
    <w:rsid w:val="006F4135"/>
    <w:rsid w:val="006F73DF"/>
    <w:rsid w:val="0070419B"/>
    <w:rsid w:val="0070735C"/>
    <w:rsid w:val="00716AA9"/>
    <w:rsid w:val="00724B92"/>
    <w:rsid w:val="00725675"/>
    <w:rsid w:val="00730834"/>
    <w:rsid w:val="00741036"/>
    <w:rsid w:val="00750AE2"/>
    <w:rsid w:val="007547E4"/>
    <w:rsid w:val="00760251"/>
    <w:rsid w:val="0077392A"/>
    <w:rsid w:val="00784548"/>
    <w:rsid w:val="00792B8F"/>
    <w:rsid w:val="007B0781"/>
    <w:rsid w:val="007F2355"/>
    <w:rsid w:val="007F5099"/>
    <w:rsid w:val="007F7C6B"/>
    <w:rsid w:val="00802A77"/>
    <w:rsid w:val="00806E94"/>
    <w:rsid w:val="00823C21"/>
    <w:rsid w:val="00826015"/>
    <w:rsid w:val="0083131F"/>
    <w:rsid w:val="008313A5"/>
    <w:rsid w:val="00834EB0"/>
    <w:rsid w:val="00841E5C"/>
    <w:rsid w:val="008601AA"/>
    <w:rsid w:val="00860501"/>
    <w:rsid w:val="00864BE3"/>
    <w:rsid w:val="00866B01"/>
    <w:rsid w:val="00883843"/>
    <w:rsid w:val="0088638B"/>
    <w:rsid w:val="00890086"/>
    <w:rsid w:val="00892423"/>
    <w:rsid w:val="00892C7F"/>
    <w:rsid w:val="008A6340"/>
    <w:rsid w:val="008B5930"/>
    <w:rsid w:val="008B76BD"/>
    <w:rsid w:val="008C267A"/>
    <w:rsid w:val="008D0FA3"/>
    <w:rsid w:val="008D4145"/>
    <w:rsid w:val="008D67F9"/>
    <w:rsid w:val="008F1AFB"/>
    <w:rsid w:val="008F2A40"/>
    <w:rsid w:val="008F3134"/>
    <w:rsid w:val="008F569E"/>
    <w:rsid w:val="008F7A13"/>
    <w:rsid w:val="009004A7"/>
    <w:rsid w:val="00905377"/>
    <w:rsid w:val="00905740"/>
    <w:rsid w:val="009176AC"/>
    <w:rsid w:val="00923110"/>
    <w:rsid w:val="0093057A"/>
    <w:rsid w:val="00934417"/>
    <w:rsid w:val="009356E5"/>
    <w:rsid w:val="00936271"/>
    <w:rsid w:val="00941B1E"/>
    <w:rsid w:val="00944FC5"/>
    <w:rsid w:val="00947F03"/>
    <w:rsid w:val="00972B69"/>
    <w:rsid w:val="009916F3"/>
    <w:rsid w:val="00993E6C"/>
    <w:rsid w:val="00996B56"/>
    <w:rsid w:val="009A0F3F"/>
    <w:rsid w:val="009A2474"/>
    <w:rsid w:val="009A494D"/>
    <w:rsid w:val="009C3218"/>
    <w:rsid w:val="009D7B40"/>
    <w:rsid w:val="009F6393"/>
    <w:rsid w:val="00A06347"/>
    <w:rsid w:val="00A07A69"/>
    <w:rsid w:val="00A118E4"/>
    <w:rsid w:val="00A23F98"/>
    <w:rsid w:val="00A37B20"/>
    <w:rsid w:val="00A52CA2"/>
    <w:rsid w:val="00A606E1"/>
    <w:rsid w:val="00A6196B"/>
    <w:rsid w:val="00A83FB6"/>
    <w:rsid w:val="00A935E6"/>
    <w:rsid w:val="00A96C86"/>
    <w:rsid w:val="00A97D28"/>
    <w:rsid w:val="00AA3720"/>
    <w:rsid w:val="00AA6C10"/>
    <w:rsid w:val="00AB22B8"/>
    <w:rsid w:val="00AC2D30"/>
    <w:rsid w:val="00AD3B07"/>
    <w:rsid w:val="00B305CA"/>
    <w:rsid w:val="00B837C6"/>
    <w:rsid w:val="00B8682D"/>
    <w:rsid w:val="00B92B32"/>
    <w:rsid w:val="00BA0E9B"/>
    <w:rsid w:val="00BA2099"/>
    <w:rsid w:val="00BB2BE2"/>
    <w:rsid w:val="00BB414C"/>
    <w:rsid w:val="00BC3BD4"/>
    <w:rsid w:val="00BD4068"/>
    <w:rsid w:val="00BE33F5"/>
    <w:rsid w:val="00BE79A8"/>
    <w:rsid w:val="00BF2AC8"/>
    <w:rsid w:val="00BF3F82"/>
    <w:rsid w:val="00C00C3C"/>
    <w:rsid w:val="00C30DD3"/>
    <w:rsid w:val="00C33BD1"/>
    <w:rsid w:val="00C34A3B"/>
    <w:rsid w:val="00C34B4D"/>
    <w:rsid w:val="00C624D5"/>
    <w:rsid w:val="00C65B1A"/>
    <w:rsid w:val="00C7325E"/>
    <w:rsid w:val="00C91E96"/>
    <w:rsid w:val="00CB6A1B"/>
    <w:rsid w:val="00CD722E"/>
    <w:rsid w:val="00D02FC0"/>
    <w:rsid w:val="00D15FCD"/>
    <w:rsid w:val="00D448AD"/>
    <w:rsid w:val="00D531BA"/>
    <w:rsid w:val="00D66700"/>
    <w:rsid w:val="00D66DBC"/>
    <w:rsid w:val="00D7318D"/>
    <w:rsid w:val="00D85402"/>
    <w:rsid w:val="00D87049"/>
    <w:rsid w:val="00D9537B"/>
    <w:rsid w:val="00D9654E"/>
    <w:rsid w:val="00DA02D3"/>
    <w:rsid w:val="00DA6E38"/>
    <w:rsid w:val="00DB630D"/>
    <w:rsid w:val="00DD0D46"/>
    <w:rsid w:val="00DD37CF"/>
    <w:rsid w:val="00DD791B"/>
    <w:rsid w:val="00DF3A09"/>
    <w:rsid w:val="00E00582"/>
    <w:rsid w:val="00E0530B"/>
    <w:rsid w:val="00E146A4"/>
    <w:rsid w:val="00E31978"/>
    <w:rsid w:val="00E3623E"/>
    <w:rsid w:val="00E36CCF"/>
    <w:rsid w:val="00E471EA"/>
    <w:rsid w:val="00E66A68"/>
    <w:rsid w:val="00E66B78"/>
    <w:rsid w:val="00EA05A7"/>
    <w:rsid w:val="00EA162E"/>
    <w:rsid w:val="00EB24A6"/>
    <w:rsid w:val="00EB7E67"/>
    <w:rsid w:val="00EC59AD"/>
    <w:rsid w:val="00ED1FB6"/>
    <w:rsid w:val="00ED6D6E"/>
    <w:rsid w:val="00EE0401"/>
    <w:rsid w:val="00EE6266"/>
    <w:rsid w:val="00EF3104"/>
    <w:rsid w:val="00EF3D4B"/>
    <w:rsid w:val="00EF4089"/>
    <w:rsid w:val="00EF72F5"/>
    <w:rsid w:val="00EF76A3"/>
    <w:rsid w:val="00EF7709"/>
    <w:rsid w:val="00F021C8"/>
    <w:rsid w:val="00F03A41"/>
    <w:rsid w:val="00F25AE2"/>
    <w:rsid w:val="00F46A66"/>
    <w:rsid w:val="00F67827"/>
    <w:rsid w:val="00F7640A"/>
    <w:rsid w:val="00F82E25"/>
    <w:rsid w:val="00F9068F"/>
    <w:rsid w:val="00F922EE"/>
    <w:rsid w:val="00FB465E"/>
    <w:rsid w:val="00FC19ED"/>
    <w:rsid w:val="00FC3ECE"/>
    <w:rsid w:val="00FD005F"/>
    <w:rsid w:val="00FD2A3D"/>
    <w:rsid w:val="00FE5691"/>
    <w:rsid w:val="00FF1503"/>
    <w:rsid w:val="00FF297F"/>
    <w:rsid w:val="00FF5B7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semiHidden/>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paragraph" w:styleId="Kommentaaritekst">
    <w:name w:val="annotation text"/>
    <w:basedOn w:val="Normaallaad"/>
    <w:link w:val="KommentaaritekstMrk"/>
    <w:uiPriority w:val="99"/>
    <w:semiHidden/>
    <w:unhideWhenUsed/>
    <w:rsid w:val="00834EB0"/>
    <w:rPr>
      <w:rFonts w:ascii="Aptos" w:eastAsia="Aptos" w:hAnsi="Aptos" w:cs="Arial"/>
      <w:sz w:val="20"/>
      <w:szCs w:val="20"/>
    </w:rPr>
  </w:style>
  <w:style w:type="character" w:customStyle="1" w:styleId="KommentaaritekstMrk">
    <w:name w:val="Kommentaari tekst Märk"/>
    <w:basedOn w:val="Liguvaikefont"/>
    <w:link w:val="Kommentaaritekst"/>
    <w:uiPriority w:val="99"/>
    <w:semiHidden/>
    <w:rsid w:val="00834EB0"/>
    <w:rPr>
      <w:rFonts w:ascii="Aptos" w:eastAsia="Aptos" w:hAnsi="Aptos" w:cs="Arial"/>
      <w:sz w:val="20"/>
      <w:szCs w:val="20"/>
    </w:rPr>
  </w:style>
  <w:style w:type="character" w:styleId="Kommentaariviide">
    <w:name w:val="annotation reference"/>
    <w:basedOn w:val="Liguvaikefont"/>
    <w:uiPriority w:val="99"/>
    <w:semiHidden/>
    <w:unhideWhenUsed/>
    <w:rsid w:val="00834E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bcc1e8095a2e3126b388e4d378faa063">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0cab1062d3edd53a89ed3b97a94ea9f"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2.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3.xml><?xml version="1.0" encoding="utf-8"?>
<ds:datastoreItem xmlns:ds="http://schemas.openxmlformats.org/officeDocument/2006/customXml" ds:itemID="{47256BF8-16CB-45B4-BE18-FC5BBCFD5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1483</Words>
  <Characters>8607</Characters>
  <Application>Microsoft Office Word</Application>
  <DocSecurity>0</DocSecurity>
  <Lines>71</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Kaitti Persidski</cp:lastModifiedBy>
  <cp:revision>198</cp:revision>
  <cp:lastPrinted>2025-02-04T11:11:00Z</cp:lastPrinted>
  <dcterms:created xsi:type="dcterms:W3CDTF">2025-09-04T07:15:00Z</dcterms:created>
  <dcterms:modified xsi:type="dcterms:W3CDTF">2025-10-06T08:10:00Z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